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jc w:val="center"/>
        <w:tblLook w:val="00BF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>
        <w:trPr>
          <w:jc w:val="center"/>
        </w:trPr>
        <w:tc>
          <w:tcPr>
            <w:tcW w:w="1384" w:type="dxa"/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0F1A82" w:rsidP="00E8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Planning</w:t>
            </w:r>
            <w:r w:rsidR="00E62415">
              <w:rPr>
                <w:color w:val="000000" w:themeColor="text1"/>
              </w:rPr>
              <w:t xml:space="preserve"> science</w:t>
            </w:r>
            <w:r>
              <w:rPr>
                <w:color w:val="000000" w:themeColor="text1"/>
              </w:rPr>
              <w:t xml:space="preserve"> lessons</w:t>
            </w:r>
          </w:p>
        </w:tc>
        <w:tc>
          <w:tcPr>
            <w:tcW w:w="1166" w:type="dxa"/>
          </w:tcPr>
          <w:p w:rsidR="002E0F2E" w:rsidRPr="00533F8A" w:rsidRDefault="002E0F2E" w:rsidP="00E86133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3A21D9" w:rsidP="00E8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Various </w:t>
            </w:r>
          </w:p>
        </w:tc>
      </w:tr>
      <w:tr w:rsidR="002E0F2E" w:rsidTr="00E62415">
        <w:trPr>
          <w:trHeight w:val="414"/>
          <w:jc w:val="center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8B1F78" w:rsidRDefault="002E0F2E" w:rsidP="008B1F78">
            <w:pPr>
              <w:rPr>
                <w:b/>
                <w:color w:val="000000" w:themeColor="text1"/>
              </w:rPr>
            </w:pPr>
            <w:r w:rsidRPr="008B1F78">
              <w:rPr>
                <w:color w:val="000000" w:themeColor="text1"/>
              </w:rPr>
              <w:t xml:space="preserve">To </w:t>
            </w:r>
            <w:r w:rsidR="000F1A82" w:rsidRPr="008B1F78">
              <w:rPr>
                <w:color w:val="000000" w:themeColor="text1"/>
              </w:rPr>
              <w:t xml:space="preserve">provide a </w:t>
            </w:r>
            <w:r w:rsidR="008B1F78" w:rsidRPr="008B1F78">
              <w:rPr>
                <w:color w:val="000000" w:themeColor="text1"/>
              </w:rPr>
              <w:t>framework</w:t>
            </w:r>
            <w:r w:rsidR="000F1A82" w:rsidRPr="008B1F78">
              <w:rPr>
                <w:color w:val="000000" w:themeColor="text1"/>
              </w:rPr>
              <w:t xml:space="preserve"> to support</w:t>
            </w:r>
            <w:r w:rsidR="008B1F78" w:rsidRPr="008B1F78">
              <w:rPr>
                <w:color w:val="000000" w:themeColor="text1"/>
              </w:rPr>
              <w:t xml:space="preserve"> teachers to plan science lessons. </w:t>
            </w:r>
          </w:p>
        </w:tc>
      </w:tr>
      <w:bookmarkEnd w:id="0"/>
    </w:tbl>
    <w:p w:rsidR="000F1A82" w:rsidRDefault="000F1A82" w:rsidP="000F1A82"/>
    <w:p w:rsidR="009E49D7" w:rsidRPr="00E86133" w:rsidRDefault="009E49D7" w:rsidP="00E86133">
      <w:pPr>
        <w:jc w:val="center"/>
      </w:pPr>
    </w:p>
    <w:p w:rsidR="008B1F78" w:rsidRDefault="006327FF" w:rsidP="006327FF">
      <w:pPr>
        <w:tabs>
          <w:tab w:val="center" w:pos="6979"/>
          <w:tab w:val="left" w:pos="12516"/>
        </w:tabs>
        <w:rPr>
          <w:b/>
          <w:sz w:val="28"/>
        </w:rPr>
      </w:pPr>
      <w:r>
        <w:rPr>
          <w:b/>
          <w:sz w:val="28"/>
        </w:rPr>
        <w:tab/>
      </w:r>
      <w:r w:rsidR="000F1A82">
        <w:rPr>
          <w:b/>
          <w:sz w:val="28"/>
        </w:rPr>
        <w:t xml:space="preserve">EPIBA:  </w:t>
      </w:r>
      <w:r w:rsidR="00BE5B61">
        <w:rPr>
          <w:b/>
          <w:sz w:val="28"/>
        </w:rPr>
        <w:t>a simple approach to support</w:t>
      </w:r>
      <w:r w:rsidR="003A21D9">
        <w:rPr>
          <w:b/>
          <w:sz w:val="28"/>
        </w:rPr>
        <w:t xml:space="preserve"> lesson planning in science</w:t>
      </w:r>
      <w:r>
        <w:rPr>
          <w:b/>
          <w:sz w:val="28"/>
        </w:rPr>
        <w:tab/>
      </w:r>
    </w:p>
    <w:p w:rsidR="008C72FC" w:rsidRPr="008B1F78" w:rsidRDefault="008C72FC" w:rsidP="008B1F78">
      <w:pPr>
        <w:tabs>
          <w:tab w:val="left" w:pos="1275"/>
        </w:tabs>
        <w:rPr>
          <w:sz w:val="28"/>
        </w:rPr>
      </w:pPr>
    </w:p>
    <w:p w:rsidR="00D76679" w:rsidRDefault="00E63639" w:rsidP="00BE5B61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>
            <wp:extent cx="5164008" cy="3876675"/>
            <wp:effectExtent l="0" t="0" r="0" b="0"/>
            <wp:docPr id="1" name="Picture 0" descr="Ep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b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139" cy="38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79" w:rsidRDefault="00D76679" w:rsidP="00BE5B61">
      <w:pPr>
        <w:jc w:val="center"/>
        <w:rPr>
          <w:b/>
          <w:sz w:val="28"/>
        </w:rPr>
      </w:pPr>
    </w:p>
    <w:p w:rsidR="000F1A82" w:rsidRPr="006327FF" w:rsidRDefault="006327FF" w:rsidP="008C72FC">
      <w:r w:rsidRPr="006327FF">
        <w:rPr>
          <w:b/>
          <w:color w:val="008000"/>
        </w:rPr>
        <w:t>Progress:</w:t>
      </w:r>
      <w:r w:rsidRPr="006327FF">
        <w:rPr>
          <w:color w:val="000000" w:themeColor="text1"/>
        </w:rPr>
        <w:t xml:space="preserve">   </w:t>
      </w:r>
      <w:r w:rsidRPr="006327FF">
        <w:rPr>
          <w:color w:val="404040" w:themeColor="text1" w:themeTint="BF"/>
        </w:rPr>
        <w:t>further resources on teaching and learning</w:t>
      </w:r>
      <w:r>
        <w:rPr>
          <w:color w:val="404040" w:themeColor="text1" w:themeTint="BF"/>
        </w:rPr>
        <w:t xml:space="preserve"> are available at</w:t>
      </w:r>
      <w:r w:rsidRPr="006327FF">
        <w:rPr>
          <w:color w:val="008000"/>
        </w:rPr>
        <w:t xml:space="preserve"> </w:t>
      </w:r>
      <w:hyperlink r:id="rId10" w:history="1">
        <w:r w:rsidRPr="006327FF">
          <w:rPr>
            <w:rStyle w:val="Hyperlink"/>
          </w:rPr>
          <w:t>http://ww</w:t>
        </w:r>
        <w:bookmarkStart w:id="1" w:name="_GoBack"/>
        <w:bookmarkEnd w:id="1"/>
        <w:r w:rsidRPr="006327FF">
          <w:rPr>
            <w:rStyle w:val="Hyperlink"/>
          </w:rPr>
          <w:t>w.thescienceteacher.co.uk/teaching-and-learning</w:t>
        </w:r>
      </w:hyperlink>
      <w:r>
        <w:rPr>
          <w:rStyle w:val="Hyperlink"/>
        </w:rPr>
        <w:t xml:space="preserve">. </w:t>
      </w:r>
    </w:p>
    <w:tbl>
      <w:tblPr>
        <w:tblStyle w:val="TableGrid"/>
        <w:tblW w:w="14174" w:type="dxa"/>
        <w:tblLayout w:type="fixed"/>
        <w:tblLook w:val="00BF" w:firstRow="1" w:lastRow="0" w:firstColumn="1" w:lastColumn="0" w:noHBand="0" w:noVBand="0"/>
      </w:tblPr>
      <w:tblGrid>
        <w:gridCol w:w="1668"/>
        <w:gridCol w:w="992"/>
        <w:gridCol w:w="1276"/>
        <w:gridCol w:w="3685"/>
        <w:gridCol w:w="1418"/>
        <w:gridCol w:w="5135"/>
      </w:tblGrid>
      <w:tr w:rsidR="000F1A82" w:rsidTr="006327FF">
        <w:trPr>
          <w:trHeight w:val="446"/>
        </w:trPr>
        <w:tc>
          <w:tcPr>
            <w:tcW w:w="1668" w:type="dxa"/>
            <w:shd w:val="clear" w:color="auto" w:fill="92D050"/>
          </w:tcPr>
          <w:p w:rsidR="000F1A82" w:rsidRPr="006327FF" w:rsidRDefault="00BE5B61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lastRenderedPageBreak/>
              <w:t>Assessment</w:t>
            </w:r>
          </w:p>
        </w:tc>
        <w:tc>
          <w:tcPr>
            <w:tcW w:w="992" w:type="dxa"/>
            <w:shd w:val="clear" w:color="auto" w:fill="92D050"/>
          </w:tcPr>
          <w:p w:rsidR="000F1A82" w:rsidRPr="006327FF" w:rsidRDefault="003A21D9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>EPIBA</w:t>
            </w:r>
          </w:p>
        </w:tc>
        <w:tc>
          <w:tcPr>
            <w:tcW w:w="1276" w:type="dxa"/>
            <w:shd w:val="clear" w:color="auto" w:fill="92D050"/>
          </w:tcPr>
          <w:p w:rsidR="000F1A82" w:rsidRPr="006327FF" w:rsidRDefault="000F1A82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>What?</w:t>
            </w:r>
          </w:p>
        </w:tc>
        <w:tc>
          <w:tcPr>
            <w:tcW w:w="3685" w:type="dxa"/>
            <w:shd w:val="clear" w:color="auto" w:fill="92D050"/>
          </w:tcPr>
          <w:p w:rsidR="000F1A82" w:rsidRPr="006327FF" w:rsidRDefault="000F1A82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>Why?</w:t>
            </w:r>
          </w:p>
        </w:tc>
        <w:tc>
          <w:tcPr>
            <w:tcW w:w="1418" w:type="dxa"/>
            <w:shd w:val="clear" w:color="auto" w:fill="92D050"/>
          </w:tcPr>
          <w:p w:rsidR="00BE5B61" w:rsidRPr="006327FF" w:rsidRDefault="000F1A82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>Time</w:t>
            </w:r>
          </w:p>
          <w:p w:rsidR="000F1A82" w:rsidRPr="006327FF" w:rsidRDefault="00BE5B61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>(min)</w:t>
            </w:r>
          </w:p>
        </w:tc>
        <w:tc>
          <w:tcPr>
            <w:tcW w:w="5135" w:type="dxa"/>
            <w:shd w:val="clear" w:color="auto" w:fill="92D050"/>
          </w:tcPr>
          <w:p w:rsidR="000F1A82" w:rsidRPr="006327FF" w:rsidRDefault="000F1A82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 xml:space="preserve">Example </w:t>
            </w:r>
          </w:p>
        </w:tc>
      </w:tr>
      <w:tr w:rsidR="000F1A82" w:rsidTr="006327FF">
        <w:trPr>
          <w:trHeight w:val="446"/>
        </w:trPr>
        <w:tc>
          <w:tcPr>
            <w:tcW w:w="1668" w:type="dxa"/>
            <w:vMerge w:val="restart"/>
          </w:tcPr>
          <w:p w:rsidR="000F1A82" w:rsidRPr="000F1A82" w:rsidRDefault="008B1F78" w:rsidP="00E86133">
            <w:pPr>
              <w:jc w:val="center"/>
              <w:rPr>
                <w:sz w:val="28"/>
              </w:rPr>
            </w:pPr>
            <w:hyperlink r:id="rId11" w:history="1">
              <w:r w:rsidR="000F1A82" w:rsidRPr="008B1F78">
                <w:rPr>
                  <w:rStyle w:val="Hyperlink"/>
                  <w:sz w:val="28"/>
                </w:rPr>
                <w:t>Assessment for learning</w:t>
              </w:r>
            </w:hyperlink>
            <w:r w:rsidR="000F1A82" w:rsidRPr="000F1A82">
              <w:rPr>
                <w:sz w:val="28"/>
              </w:rPr>
              <w:t xml:space="preserve"> should run throughout </w:t>
            </w:r>
          </w:p>
          <w:p w:rsidR="000F1A82" w:rsidRDefault="000F1A82" w:rsidP="00E86133">
            <w:pPr>
              <w:jc w:val="center"/>
              <w:rPr>
                <w:sz w:val="28"/>
              </w:rPr>
            </w:pPr>
          </w:p>
          <w:p w:rsidR="006327FF" w:rsidRDefault="006327FF" w:rsidP="00E86133">
            <w:pPr>
              <w:jc w:val="center"/>
              <w:rPr>
                <w:sz w:val="28"/>
              </w:rPr>
            </w:pPr>
          </w:p>
          <w:p w:rsidR="006327FF" w:rsidRDefault="006327FF" w:rsidP="00E86133">
            <w:pPr>
              <w:jc w:val="center"/>
              <w:rPr>
                <w:sz w:val="28"/>
              </w:rPr>
            </w:pPr>
          </w:p>
          <w:p w:rsidR="006327FF" w:rsidRPr="000F1A82" w:rsidRDefault="006327FF" w:rsidP="006327FF">
            <w:pPr>
              <w:rPr>
                <w:sz w:val="28"/>
              </w:rPr>
            </w:pPr>
          </w:p>
          <w:p w:rsidR="000F1A82" w:rsidRPr="006327FF" w:rsidRDefault="000F1A82" w:rsidP="00E86133">
            <w:pPr>
              <w:jc w:val="center"/>
            </w:pPr>
          </w:p>
          <w:p w:rsidR="00E00DBC" w:rsidRPr="006327FF" w:rsidRDefault="00E00DBC" w:rsidP="00E86133">
            <w:pPr>
              <w:jc w:val="center"/>
              <w:rPr>
                <w:i/>
              </w:rPr>
            </w:pPr>
            <w:r w:rsidRPr="006327FF">
              <w:rPr>
                <w:i/>
              </w:rPr>
              <w:t>*looking at student work</w:t>
            </w:r>
          </w:p>
          <w:p w:rsidR="00E00DBC" w:rsidRPr="006327FF" w:rsidRDefault="00E00DBC" w:rsidP="00E86133">
            <w:pPr>
              <w:jc w:val="center"/>
            </w:pPr>
          </w:p>
          <w:p w:rsidR="00E00DBC" w:rsidRPr="006327FF" w:rsidRDefault="00E00DBC" w:rsidP="00E86133">
            <w:pPr>
              <w:jc w:val="center"/>
            </w:pPr>
          </w:p>
          <w:p w:rsidR="00BE5B61" w:rsidRPr="006327FF" w:rsidRDefault="000F1A82" w:rsidP="00E86133">
            <w:pPr>
              <w:jc w:val="center"/>
              <w:rPr>
                <w:i/>
              </w:rPr>
            </w:pPr>
            <w:r w:rsidRPr="006327FF">
              <w:rPr>
                <w:i/>
              </w:rPr>
              <w:t>*</w:t>
            </w:r>
            <w:hyperlink r:id="rId12" w:history="1">
              <w:r w:rsidRPr="006327FF">
                <w:rPr>
                  <w:rStyle w:val="Hyperlink"/>
                  <w:i/>
                </w:rPr>
                <w:t>questioning</w:t>
              </w:r>
            </w:hyperlink>
          </w:p>
          <w:p w:rsidR="00BE5B61" w:rsidRPr="006327FF" w:rsidRDefault="00BE5B61" w:rsidP="00E86133">
            <w:pPr>
              <w:jc w:val="center"/>
              <w:rPr>
                <w:i/>
              </w:rPr>
            </w:pPr>
          </w:p>
          <w:p w:rsidR="000F1A82" w:rsidRPr="006327FF" w:rsidRDefault="000F1A82" w:rsidP="00E86133">
            <w:pPr>
              <w:jc w:val="center"/>
              <w:rPr>
                <w:i/>
              </w:rPr>
            </w:pPr>
          </w:p>
          <w:p w:rsidR="00BE5B61" w:rsidRPr="006327FF" w:rsidRDefault="000F1A82" w:rsidP="00E86133">
            <w:pPr>
              <w:jc w:val="center"/>
              <w:rPr>
                <w:i/>
              </w:rPr>
            </w:pPr>
            <w:r w:rsidRPr="006327FF">
              <w:rPr>
                <w:i/>
              </w:rPr>
              <w:t>* mini-white boards</w:t>
            </w:r>
          </w:p>
          <w:p w:rsidR="00BE5B61" w:rsidRPr="006327FF" w:rsidRDefault="00BE5B61" w:rsidP="00E86133">
            <w:pPr>
              <w:jc w:val="center"/>
              <w:rPr>
                <w:i/>
              </w:rPr>
            </w:pPr>
          </w:p>
          <w:p w:rsidR="000F1A82" w:rsidRPr="006327FF" w:rsidRDefault="000F1A82" w:rsidP="00E86133">
            <w:pPr>
              <w:jc w:val="center"/>
              <w:rPr>
                <w:i/>
              </w:rPr>
            </w:pPr>
          </w:p>
          <w:p w:rsidR="000F1A82" w:rsidRPr="006327FF" w:rsidRDefault="000F1A82" w:rsidP="00E86133">
            <w:pPr>
              <w:jc w:val="center"/>
              <w:rPr>
                <w:i/>
              </w:rPr>
            </w:pPr>
            <w:r w:rsidRPr="006327FF">
              <w:rPr>
                <w:i/>
              </w:rPr>
              <w:t>*</w:t>
            </w:r>
            <w:hyperlink r:id="rId13" w:history="1">
              <w:r w:rsidRPr="006327FF">
                <w:rPr>
                  <w:rStyle w:val="Hyperlink"/>
                  <w:i/>
                </w:rPr>
                <w:t xml:space="preserve">peer </w:t>
              </w:r>
              <w:r w:rsidR="00BE5B61" w:rsidRPr="006327FF">
                <w:rPr>
                  <w:rStyle w:val="Hyperlink"/>
                  <w:i/>
                </w:rPr>
                <w:t>assessment</w:t>
              </w:r>
            </w:hyperlink>
          </w:p>
          <w:p w:rsidR="000F1A82" w:rsidRPr="006327FF" w:rsidRDefault="000F1A82" w:rsidP="00E86133">
            <w:pPr>
              <w:jc w:val="center"/>
            </w:pPr>
          </w:p>
          <w:p w:rsidR="000F1A82" w:rsidRDefault="000F1A82" w:rsidP="00E86133">
            <w:pPr>
              <w:jc w:val="center"/>
              <w:rPr>
                <w:b/>
                <w:sz w:val="28"/>
              </w:rPr>
            </w:pPr>
          </w:p>
          <w:p w:rsidR="006327FF" w:rsidRDefault="006327FF" w:rsidP="00E86133">
            <w:pPr>
              <w:jc w:val="center"/>
              <w:rPr>
                <w:b/>
                <w:sz w:val="28"/>
              </w:rPr>
            </w:pPr>
          </w:p>
          <w:p w:rsidR="006327FF" w:rsidRDefault="006327FF" w:rsidP="00E86133">
            <w:pPr>
              <w:jc w:val="center"/>
              <w:rPr>
                <w:b/>
                <w:sz w:val="28"/>
              </w:rPr>
            </w:pPr>
          </w:p>
          <w:p w:rsidR="006327FF" w:rsidRDefault="006327FF" w:rsidP="00E86133">
            <w:pPr>
              <w:jc w:val="center"/>
              <w:rPr>
                <w:b/>
                <w:sz w:val="28"/>
              </w:rPr>
            </w:pPr>
          </w:p>
          <w:p w:rsidR="006327FF" w:rsidRDefault="006327FF" w:rsidP="00E86133">
            <w:pPr>
              <w:jc w:val="center"/>
              <w:rPr>
                <w:b/>
                <w:sz w:val="28"/>
              </w:rPr>
            </w:pPr>
          </w:p>
          <w:p w:rsidR="006327FF" w:rsidRPr="000F1A82" w:rsidRDefault="006327FF" w:rsidP="006327FF">
            <w:pPr>
              <w:jc w:val="center"/>
              <w:rPr>
                <w:sz w:val="28"/>
              </w:rPr>
            </w:pPr>
            <w:hyperlink r:id="rId14" w:history="1">
              <w:r w:rsidRPr="008B1F78">
                <w:rPr>
                  <w:rStyle w:val="Hyperlink"/>
                  <w:sz w:val="28"/>
                </w:rPr>
                <w:t>Assessment for learning</w:t>
              </w:r>
            </w:hyperlink>
            <w:r w:rsidRPr="000F1A82">
              <w:rPr>
                <w:sz w:val="28"/>
              </w:rPr>
              <w:t xml:space="preserve"> should run throughout </w:t>
            </w:r>
          </w:p>
          <w:p w:rsidR="006327FF" w:rsidRDefault="006327FF" w:rsidP="006327FF">
            <w:pPr>
              <w:jc w:val="center"/>
              <w:rPr>
                <w:sz w:val="28"/>
              </w:rPr>
            </w:pPr>
          </w:p>
          <w:p w:rsidR="006327FF" w:rsidRDefault="006327FF" w:rsidP="006327FF">
            <w:pPr>
              <w:jc w:val="center"/>
              <w:rPr>
                <w:sz w:val="28"/>
              </w:rPr>
            </w:pPr>
          </w:p>
          <w:p w:rsidR="006327FF" w:rsidRDefault="006327FF" w:rsidP="006327FF">
            <w:pPr>
              <w:jc w:val="center"/>
              <w:rPr>
                <w:sz w:val="28"/>
              </w:rPr>
            </w:pPr>
          </w:p>
          <w:p w:rsidR="006327FF" w:rsidRPr="000F1A82" w:rsidRDefault="006327FF" w:rsidP="006327FF">
            <w:pPr>
              <w:rPr>
                <w:sz w:val="28"/>
              </w:rPr>
            </w:pPr>
          </w:p>
          <w:p w:rsidR="006327FF" w:rsidRPr="006327FF" w:rsidRDefault="006327FF" w:rsidP="006327FF">
            <w:pPr>
              <w:jc w:val="center"/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  <w:r w:rsidRPr="006327FF">
              <w:rPr>
                <w:i/>
              </w:rPr>
              <w:t>*looking at student work</w:t>
            </w:r>
          </w:p>
          <w:p w:rsidR="006327FF" w:rsidRPr="006327FF" w:rsidRDefault="006327FF" w:rsidP="006327FF">
            <w:pPr>
              <w:jc w:val="center"/>
            </w:pPr>
          </w:p>
          <w:p w:rsidR="006327FF" w:rsidRPr="006327FF" w:rsidRDefault="006327FF" w:rsidP="006327FF">
            <w:pPr>
              <w:jc w:val="center"/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  <w:r w:rsidRPr="006327FF">
              <w:rPr>
                <w:i/>
              </w:rPr>
              <w:t>*</w:t>
            </w:r>
            <w:hyperlink r:id="rId15" w:history="1">
              <w:r w:rsidRPr="006327FF">
                <w:rPr>
                  <w:rStyle w:val="Hyperlink"/>
                  <w:i/>
                </w:rPr>
                <w:t>questioning</w:t>
              </w:r>
            </w:hyperlink>
          </w:p>
          <w:p w:rsidR="006327FF" w:rsidRPr="006327FF" w:rsidRDefault="006327FF" w:rsidP="006327FF">
            <w:pPr>
              <w:jc w:val="center"/>
              <w:rPr>
                <w:i/>
              </w:rPr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  <w:r w:rsidRPr="006327FF">
              <w:rPr>
                <w:i/>
              </w:rPr>
              <w:t>* mini-white boards</w:t>
            </w:r>
          </w:p>
          <w:p w:rsidR="006327FF" w:rsidRPr="006327FF" w:rsidRDefault="006327FF" w:rsidP="006327FF">
            <w:pPr>
              <w:jc w:val="center"/>
              <w:rPr>
                <w:i/>
              </w:rPr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  <w:r w:rsidRPr="006327FF">
              <w:rPr>
                <w:i/>
              </w:rPr>
              <w:t>*</w:t>
            </w:r>
            <w:hyperlink r:id="rId16" w:history="1">
              <w:r w:rsidRPr="006327FF">
                <w:rPr>
                  <w:rStyle w:val="Hyperlink"/>
                  <w:i/>
                </w:rPr>
                <w:t>peer assessment</w:t>
              </w:r>
            </w:hyperlink>
          </w:p>
          <w:p w:rsidR="006327FF" w:rsidRPr="006327FF" w:rsidRDefault="006327FF" w:rsidP="006327FF">
            <w:pPr>
              <w:jc w:val="center"/>
            </w:pPr>
          </w:p>
          <w:p w:rsidR="006327FF" w:rsidRDefault="006327FF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1A82" w:rsidRDefault="000F1A82" w:rsidP="00E86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1A82" w:rsidRPr="00BE5B61" w:rsidRDefault="000F1A82" w:rsidP="00E86133">
            <w:pPr>
              <w:jc w:val="center"/>
              <w:rPr>
                <w:color w:val="008000"/>
                <w:sz w:val="28"/>
              </w:rPr>
            </w:pPr>
            <w:r w:rsidRPr="00822E5B">
              <w:rPr>
                <w:b/>
                <w:color w:val="008000"/>
                <w:sz w:val="28"/>
              </w:rPr>
              <w:t>Engage</w:t>
            </w:r>
            <w:r w:rsidR="00E00DBC">
              <w:rPr>
                <w:color w:val="008000"/>
                <w:sz w:val="28"/>
              </w:rPr>
              <w:t xml:space="preserve"> (often the </w:t>
            </w:r>
            <w:hyperlink r:id="rId17" w:history="1">
              <w:r w:rsidR="00E00DBC" w:rsidRPr="00822E5B">
                <w:rPr>
                  <w:rStyle w:val="Hyperlink"/>
                  <w:sz w:val="28"/>
                </w:rPr>
                <w:t>Do it Now</w:t>
              </w:r>
            </w:hyperlink>
            <w:r w:rsidR="00E00DBC">
              <w:rPr>
                <w:color w:val="008000"/>
                <w:sz w:val="2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1A82" w:rsidRPr="000F1A82" w:rsidRDefault="000F1A82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 xml:space="preserve">Motivate students – provide them with </w:t>
            </w:r>
            <w:r>
              <w:rPr>
                <w:sz w:val="28"/>
              </w:rPr>
              <w:t xml:space="preserve">an opportunity to </w:t>
            </w:r>
            <w:r w:rsidR="003A21D9">
              <w:rPr>
                <w:sz w:val="28"/>
              </w:rPr>
              <w:t xml:space="preserve">succeed </w:t>
            </w:r>
            <w:r w:rsidR="00BE5B61">
              <w:rPr>
                <w:sz w:val="28"/>
              </w:rPr>
              <w:t xml:space="preserve">as </w:t>
            </w:r>
            <w:r w:rsidR="003A21D9">
              <w:rPr>
                <w:sz w:val="28"/>
              </w:rPr>
              <w:t xml:space="preserve">soon as </w:t>
            </w:r>
            <w:r w:rsidR="00BE5B61">
              <w:rPr>
                <w:sz w:val="28"/>
              </w:rPr>
              <w:t xml:space="preserve">they enter the </w:t>
            </w:r>
            <w:r w:rsidR="003A21D9">
              <w:rPr>
                <w:sz w:val="28"/>
              </w:rPr>
              <w:t>class</w:t>
            </w:r>
            <w:r w:rsidR="00BE5B61">
              <w:rPr>
                <w:sz w:val="28"/>
              </w:rPr>
              <w:t>room</w:t>
            </w:r>
            <w:r w:rsidR="00E00DBC">
              <w:rPr>
                <w:sz w:val="28"/>
              </w:rPr>
              <w:t xml:space="preserve"> and recap/consolidate key knowledge</w:t>
            </w:r>
            <w:r w:rsidR="00E62415">
              <w:rPr>
                <w:sz w:val="28"/>
              </w:rPr>
              <w:t xml:space="preserve"> from the previous lesson.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A82" w:rsidRPr="000F1A82" w:rsidRDefault="000F1A82" w:rsidP="00E86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0F1A82" w:rsidRPr="000F1A82" w:rsidRDefault="000F1A82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>Stud</w:t>
            </w:r>
            <w:r>
              <w:rPr>
                <w:sz w:val="28"/>
              </w:rPr>
              <w:t xml:space="preserve">ents enter the room and there </w:t>
            </w:r>
            <w:r w:rsidR="00BE5B61">
              <w:rPr>
                <w:sz w:val="28"/>
              </w:rPr>
              <w:t>are three pictures on the board: salt</w:t>
            </w:r>
            <w:r>
              <w:rPr>
                <w:sz w:val="28"/>
              </w:rPr>
              <w:t>, sand and sugar.  They must identify the odd one out</w:t>
            </w:r>
            <w:r w:rsidR="00E00DBC">
              <w:rPr>
                <w:sz w:val="28"/>
              </w:rPr>
              <w:t xml:space="preserve"> and explain why</w:t>
            </w:r>
            <w:r>
              <w:rPr>
                <w:sz w:val="28"/>
              </w:rPr>
              <w:t xml:space="preserve">.  </w:t>
            </w:r>
            <w:r w:rsidR="00BE5B61">
              <w:rPr>
                <w:sz w:val="28"/>
              </w:rPr>
              <w:t>The tas</w:t>
            </w:r>
            <w:r w:rsidR="00E00DBC">
              <w:rPr>
                <w:sz w:val="28"/>
              </w:rPr>
              <w:t>k is open so success is for all and builds in difficulty.</w:t>
            </w:r>
            <w:r w:rsidR="00BE5B61">
              <w:rPr>
                <w:sz w:val="28"/>
              </w:rPr>
              <w:t xml:space="preserve">  </w:t>
            </w:r>
            <w:r w:rsidR="00E62415">
              <w:rPr>
                <w:sz w:val="28"/>
              </w:rPr>
              <w:t>Teacher r</w:t>
            </w:r>
            <w:r w:rsidR="00E00DBC">
              <w:rPr>
                <w:sz w:val="28"/>
              </w:rPr>
              <w:t>eview</w:t>
            </w:r>
            <w:r w:rsidR="00E62415">
              <w:rPr>
                <w:sz w:val="28"/>
              </w:rPr>
              <w:t>s</w:t>
            </w:r>
            <w:r w:rsidR="00E00DBC">
              <w:rPr>
                <w:sz w:val="28"/>
              </w:rPr>
              <w:t xml:space="preserve"> answers. </w:t>
            </w:r>
            <w:r w:rsidR="00BE5B61">
              <w:rPr>
                <w:sz w:val="28"/>
              </w:rPr>
              <w:t xml:space="preserve">Sand won’t dissolve is where we are heading.  </w:t>
            </w:r>
          </w:p>
        </w:tc>
      </w:tr>
      <w:tr w:rsidR="000F1A82" w:rsidTr="006327FF">
        <w:trPr>
          <w:trHeight w:val="136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0F1A82" w:rsidRDefault="000F1A82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12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82" w:rsidRDefault="00822E5B" w:rsidP="00E86133">
            <w:pPr>
              <w:jc w:val="center"/>
              <w:rPr>
                <w:sz w:val="28"/>
              </w:rPr>
            </w:pPr>
            <w:hyperlink r:id="rId18" w:history="1">
              <w:r w:rsidRPr="00822E5B">
                <w:rPr>
                  <w:rStyle w:val="Hyperlink"/>
                  <w:b/>
                  <w:sz w:val="28"/>
                </w:rPr>
                <w:t>Introduce learning objective</w:t>
              </w:r>
            </w:hyperlink>
            <w:r w:rsidR="000F1A82">
              <w:rPr>
                <w:sz w:val="28"/>
              </w:rPr>
              <w:t xml:space="preserve">– today we are going to understand what happens to </w:t>
            </w:r>
            <w:r w:rsidR="00E62415">
              <w:rPr>
                <w:sz w:val="28"/>
              </w:rPr>
              <w:t>a solid when it</w:t>
            </w:r>
            <w:r w:rsidR="000F1A82">
              <w:rPr>
                <w:sz w:val="28"/>
              </w:rPr>
              <w:t xml:space="preserve"> dissolves</w:t>
            </w:r>
            <w:r w:rsidR="00E62415">
              <w:rPr>
                <w:sz w:val="28"/>
              </w:rPr>
              <w:t xml:space="preserve">. </w:t>
            </w:r>
          </w:p>
          <w:p w:rsidR="000F1A82" w:rsidRDefault="00022F2A" w:rsidP="00E86133">
            <w:pPr>
              <w:jc w:val="center"/>
              <w:rPr>
                <w:sz w:val="28"/>
              </w:rPr>
            </w:pPr>
            <w:hyperlink r:id="rId19" w:history="1">
              <w:r w:rsidR="000F1A82" w:rsidRPr="00022F2A">
                <w:rPr>
                  <w:rStyle w:val="Hyperlink"/>
                  <w:b/>
                  <w:sz w:val="28"/>
                </w:rPr>
                <w:t>Key words</w:t>
              </w:r>
            </w:hyperlink>
            <w:r w:rsidR="000F1A82" w:rsidRPr="000F1A82">
              <w:rPr>
                <w:b/>
                <w:sz w:val="28"/>
              </w:rPr>
              <w:t>:</w:t>
            </w:r>
            <w:r w:rsidR="000F1A82">
              <w:rPr>
                <w:sz w:val="28"/>
              </w:rPr>
              <w:t xml:space="preserve">  particle, dissolve, solution, solute, solvent, suspension</w:t>
            </w:r>
            <w:r w:rsidR="007101C9">
              <w:rPr>
                <w:sz w:val="28"/>
              </w:rPr>
              <w:t>, model</w:t>
            </w:r>
          </w:p>
        </w:tc>
      </w:tr>
      <w:tr w:rsidR="00C270BB" w:rsidTr="006327FF">
        <w:trPr>
          <w:trHeight w:val="561"/>
        </w:trPr>
        <w:tc>
          <w:tcPr>
            <w:tcW w:w="1668" w:type="dxa"/>
            <w:vMerge/>
          </w:tcPr>
          <w:p w:rsidR="00C270BB" w:rsidRDefault="00C270BB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C270BB" w:rsidRPr="00C270BB" w:rsidRDefault="00022F2A" w:rsidP="00E86133">
            <w:pPr>
              <w:jc w:val="center"/>
              <w:rPr>
                <w:b/>
                <w:color w:val="008000"/>
                <w:sz w:val="28"/>
              </w:rPr>
            </w:pPr>
            <w:hyperlink r:id="rId20" w:history="1">
              <w:r w:rsidR="00E00DBC" w:rsidRPr="00022F2A">
                <w:rPr>
                  <w:rStyle w:val="Hyperlink"/>
                  <w:b/>
                  <w:sz w:val="28"/>
                </w:rPr>
                <w:t>Knowledge outcomes</w:t>
              </w:r>
            </w:hyperlink>
            <w:r w:rsidR="00C270BB" w:rsidRPr="00C270BB">
              <w:rPr>
                <w:b/>
                <w:color w:val="008000"/>
                <w:sz w:val="28"/>
              </w:rPr>
              <w:t>:</w:t>
            </w:r>
          </w:p>
          <w:p w:rsidR="00C270BB" w:rsidRPr="00E62415" w:rsidRDefault="00E62415" w:rsidP="00E62415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8"/>
              </w:rPr>
              <w:t>t</w:t>
            </w:r>
            <w:r w:rsidR="00C270BB" w:rsidRPr="00C270BB">
              <w:rPr>
                <w:sz w:val="28"/>
              </w:rPr>
              <w:t xml:space="preserve">o </w:t>
            </w:r>
            <w:r w:rsidR="00C270BB">
              <w:rPr>
                <w:sz w:val="28"/>
              </w:rPr>
              <w:t xml:space="preserve">use </w:t>
            </w:r>
            <w:r>
              <w:rPr>
                <w:sz w:val="28"/>
              </w:rPr>
              <w:t xml:space="preserve">and understand </w:t>
            </w:r>
            <w:r w:rsidR="00C270BB">
              <w:rPr>
                <w:sz w:val="28"/>
              </w:rPr>
              <w:t>the terms solute, solvent, suspension and solution</w:t>
            </w:r>
          </w:p>
          <w:p w:rsidR="00E62415" w:rsidRPr="00C270BB" w:rsidRDefault="00E62415" w:rsidP="00E62415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8"/>
              </w:rPr>
              <w:t>to give an example of each</w:t>
            </w:r>
          </w:p>
          <w:p w:rsidR="00C270BB" w:rsidRPr="00022F2A" w:rsidRDefault="00E62415" w:rsidP="00E62415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proofErr w:type="gramStart"/>
            <w:r>
              <w:rPr>
                <w:sz w:val="28"/>
              </w:rPr>
              <w:t>t</w:t>
            </w:r>
            <w:r w:rsidR="00C270BB" w:rsidRPr="00C270BB">
              <w:rPr>
                <w:sz w:val="28"/>
              </w:rPr>
              <w:t>o</w:t>
            </w:r>
            <w:proofErr w:type="gramEnd"/>
            <w:r w:rsidR="00C270BB" w:rsidRPr="00C270BB">
              <w:rPr>
                <w:sz w:val="28"/>
              </w:rPr>
              <w:t xml:space="preserve"> d</w:t>
            </w:r>
            <w:r>
              <w:rPr>
                <w:sz w:val="28"/>
              </w:rPr>
              <w:t>raw labelled</w:t>
            </w:r>
            <w:r w:rsidR="00C270BB" w:rsidRPr="00C270BB">
              <w:rPr>
                <w:sz w:val="28"/>
              </w:rPr>
              <w:t xml:space="preserve"> particle pictures to describe </w:t>
            </w:r>
            <w:r w:rsidR="00C270BB">
              <w:rPr>
                <w:sz w:val="28"/>
              </w:rPr>
              <w:t xml:space="preserve">and explain </w:t>
            </w:r>
            <w:r w:rsidR="00C270BB" w:rsidRPr="00C270BB">
              <w:rPr>
                <w:sz w:val="28"/>
              </w:rPr>
              <w:t>what happens when a solute dissolve</w:t>
            </w:r>
            <w:r w:rsidR="00C270BB">
              <w:rPr>
                <w:sz w:val="28"/>
              </w:rPr>
              <w:t>s</w:t>
            </w:r>
            <w:r>
              <w:rPr>
                <w:sz w:val="28"/>
              </w:rPr>
              <w:t xml:space="preserve">. </w:t>
            </w:r>
            <w:r w:rsidR="00C270BB" w:rsidRPr="00C270BB">
              <w:rPr>
                <w:sz w:val="28"/>
              </w:rPr>
              <w:t xml:space="preserve">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</w:tcBorders>
          </w:tcPr>
          <w:p w:rsidR="00C270BB" w:rsidRPr="00C270BB" w:rsidRDefault="00822E5B" w:rsidP="00E86133">
            <w:pPr>
              <w:jc w:val="center"/>
              <w:rPr>
                <w:b/>
                <w:color w:val="008000"/>
                <w:sz w:val="28"/>
              </w:rPr>
            </w:pPr>
            <w:hyperlink r:id="rId21" w:history="1">
              <w:r w:rsidR="00E00DBC" w:rsidRPr="00822E5B">
                <w:rPr>
                  <w:rStyle w:val="Hyperlink"/>
                  <w:b/>
                  <w:sz w:val="28"/>
                </w:rPr>
                <w:t xml:space="preserve">Skills </w:t>
              </w:r>
              <w:r w:rsidRPr="00822E5B">
                <w:rPr>
                  <w:rStyle w:val="Hyperlink"/>
                  <w:b/>
                  <w:sz w:val="28"/>
                </w:rPr>
                <w:t>outcomes</w:t>
              </w:r>
            </w:hyperlink>
            <w:r w:rsidR="00C270BB" w:rsidRPr="00C270BB">
              <w:rPr>
                <w:b/>
                <w:color w:val="008000"/>
                <w:sz w:val="28"/>
              </w:rPr>
              <w:t xml:space="preserve">: </w:t>
            </w:r>
          </w:p>
          <w:p w:rsidR="00C270BB" w:rsidRPr="00E62415" w:rsidRDefault="00E62415" w:rsidP="00E62415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E62415">
              <w:rPr>
                <w:sz w:val="28"/>
              </w:rPr>
              <w:t>t</w:t>
            </w:r>
            <w:r w:rsidR="00C2416C" w:rsidRPr="00E62415">
              <w:rPr>
                <w:sz w:val="28"/>
              </w:rPr>
              <w:t xml:space="preserve">o </w:t>
            </w:r>
            <w:r w:rsidR="00C270BB" w:rsidRPr="00E62415">
              <w:rPr>
                <w:sz w:val="28"/>
              </w:rPr>
              <w:t xml:space="preserve">use a model to describe a process that cannot be observed </w:t>
            </w:r>
          </w:p>
        </w:tc>
      </w:tr>
      <w:tr w:rsidR="00022F2A" w:rsidTr="006327FF">
        <w:trPr>
          <w:trHeight w:val="1361"/>
        </w:trPr>
        <w:tc>
          <w:tcPr>
            <w:tcW w:w="1668" w:type="dxa"/>
            <w:vMerge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022F2A" w:rsidRDefault="00022F2A" w:rsidP="00022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1276" w:type="dxa"/>
          </w:tcPr>
          <w:p w:rsidR="00022F2A" w:rsidRPr="00BE5B61" w:rsidRDefault="00022F2A" w:rsidP="00022F2A">
            <w:pPr>
              <w:jc w:val="center"/>
              <w:rPr>
                <w:color w:val="008000"/>
                <w:sz w:val="28"/>
              </w:rPr>
            </w:pPr>
            <w:r w:rsidRPr="00822E5B">
              <w:rPr>
                <w:b/>
                <w:color w:val="008000"/>
                <w:sz w:val="28"/>
              </w:rPr>
              <w:t>P</w:t>
            </w:r>
            <w:r w:rsidRPr="00022F2A">
              <w:rPr>
                <w:color w:val="008000"/>
                <w:sz w:val="28"/>
              </w:rPr>
              <w:t>rior learning</w:t>
            </w:r>
            <w:r w:rsidRPr="00BE5B61">
              <w:rPr>
                <w:color w:val="008000"/>
                <w:sz w:val="28"/>
              </w:rPr>
              <w:t xml:space="preserve"> </w:t>
            </w:r>
            <w:r>
              <w:rPr>
                <w:color w:val="008000"/>
                <w:sz w:val="28"/>
              </w:rPr>
              <w:t xml:space="preserve">check </w:t>
            </w:r>
            <w:r w:rsidRPr="00BE5B61">
              <w:rPr>
                <w:color w:val="008000"/>
                <w:sz w:val="28"/>
              </w:rPr>
              <w:t>and set-up</w:t>
            </w:r>
          </w:p>
        </w:tc>
        <w:tc>
          <w:tcPr>
            <w:tcW w:w="3685" w:type="dxa"/>
          </w:tcPr>
          <w:p w:rsidR="00022F2A" w:rsidRPr="000F1A82" w:rsidRDefault="00022F2A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 xml:space="preserve">Check </w:t>
            </w:r>
            <w:hyperlink r:id="rId22" w:history="1">
              <w:r w:rsidRPr="00822E5B">
                <w:rPr>
                  <w:rStyle w:val="Hyperlink"/>
                  <w:sz w:val="28"/>
                </w:rPr>
                <w:t>misconceptions</w:t>
              </w:r>
            </w:hyperlink>
            <w:r>
              <w:rPr>
                <w:sz w:val="28"/>
              </w:rPr>
              <w:t xml:space="preserve"> and assess </w:t>
            </w:r>
            <w:hyperlink r:id="rId23" w:history="1">
              <w:r w:rsidRPr="00822E5B">
                <w:rPr>
                  <w:rStyle w:val="Hyperlink"/>
                  <w:sz w:val="28"/>
                </w:rPr>
                <w:t>prior knowledge</w:t>
              </w:r>
            </w:hyperlink>
            <w:r>
              <w:rPr>
                <w:sz w:val="28"/>
              </w:rPr>
              <w:t xml:space="preserve"> so that the rest of the lesson can be pitched correctly. </w:t>
            </w:r>
          </w:p>
        </w:tc>
        <w:tc>
          <w:tcPr>
            <w:tcW w:w="1418" w:type="dxa"/>
          </w:tcPr>
          <w:p w:rsidR="00022F2A" w:rsidRPr="000F1A82" w:rsidRDefault="00022F2A" w:rsidP="00022F2A">
            <w:pPr>
              <w:jc w:val="center"/>
              <w:rPr>
                <w:sz w:val="28"/>
              </w:rPr>
            </w:pPr>
            <w:r w:rsidRPr="000F1A82">
              <w:rPr>
                <w:sz w:val="28"/>
              </w:rPr>
              <w:t>10</w:t>
            </w:r>
          </w:p>
        </w:tc>
        <w:tc>
          <w:tcPr>
            <w:tcW w:w="5135" w:type="dxa"/>
          </w:tcPr>
          <w:p w:rsidR="00022F2A" w:rsidRPr="000F1A82" w:rsidRDefault="00022F2A" w:rsidP="008B1F78">
            <w:pPr>
              <w:rPr>
                <w:sz w:val="28"/>
              </w:rPr>
            </w:pPr>
            <w:r>
              <w:rPr>
                <w:sz w:val="28"/>
              </w:rPr>
              <w:t>A practical demonstration is used to show salt being added to water in a large beaker.  In pairs students u</w:t>
            </w:r>
            <w:r w:rsidR="008B1F78">
              <w:rPr>
                <w:sz w:val="28"/>
              </w:rPr>
              <w:t xml:space="preserve">se a </w:t>
            </w:r>
            <w:hyperlink r:id="rId24" w:history="1">
              <w:r w:rsidR="008B1F78" w:rsidRPr="008B1F78">
                <w:rPr>
                  <w:rStyle w:val="Hyperlink"/>
                  <w:sz w:val="28"/>
                </w:rPr>
                <w:t>concept cartoon</w:t>
              </w:r>
            </w:hyperlink>
            <w:r w:rsidR="008B1F78">
              <w:rPr>
                <w:sz w:val="28"/>
              </w:rPr>
              <w:t xml:space="preserve"> to discuss</w:t>
            </w:r>
            <w:r>
              <w:rPr>
                <w:sz w:val="28"/>
              </w:rPr>
              <w:t xml:space="preserve"> what is happening to the mass of the water. This is discussed in pairs and then as a whole class. </w:t>
            </w:r>
          </w:p>
        </w:tc>
      </w:tr>
      <w:tr w:rsidR="00022F2A" w:rsidTr="006327FF">
        <w:trPr>
          <w:trHeight w:val="1361"/>
        </w:trPr>
        <w:tc>
          <w:tcPr>
            <w:tcW w:w="1668" w:type="dxa"/>
            <w:vMerge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76" w:type="dxa"/>
          </w:tcPr>
          <w:p w:rsidR="00022F2A" w:rsidRPr="00BE5B61" w:rsidRDefault="00022F2A" w:rsidP="00E86133">
            <w:pPr>
              <w:jc w:val="center"/>
              <w:rPr>
                <w:color w:val="008000"/>
                <w:sz w:val="28"/>
              </w:rPr>
            </w:pPr>
            <w:r w:rsidRPr="00BE5B61">
              <w:rPr>
                <w:b/>
                <w:color w:val="008000"/>
                <w:sz w:val="28"/>
              </w:rPr>
              <w:t>I</w:t>
            </w:r>
            <w:r>
              <w:rPr>
                <w:color w:val="008000"/>
                <w:sz w:val="28"/>
              </w:rPr>
              <w:t>ntroduce new knowledge</w:t>
            </w:r>
          </w:p>
        </w:tc>
        <w:tc>
          <w:tcPr>
            <w:tcW w:w="3685" w:type="dxa"/>
          </w:tcPr>
          <w:p w:rsidR="00022F2A" w:rsidRPr="000F1A82" w:rsidRDefault="00022F2A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>Introduce new knowledge</w:t>
            </w:r>
            <w:r>
              <w:rPr>
                <w:sz w:val="28"/>
              </w:rPr>
              <w:t xml:space="preserve">. Begin with a concrete idea or simple </w:t>
            </w:r>
            <w:hyperlink r:id="rId25" w:history="1">
              <w:r w:rsidRPr="00822E5B">
                <w:rPr>
                  <w:rStyle w:val="Hyperlink"/>
                  <w:sz w:val="28"/>
                </w:rPr>
                <w:t>context</w:t>
              </w:r>
            </w:hyperlink>
            <w:r>
              <w:rPr>
                <w:sz w:val="28"/>
              </w:rPr>
              <w:t xml:space="preserve"> so that you start from what your students already know. Modelling is important here. </w:t>
            </w:r>
          </w:p>
        </w:tc>
        <w:tc>
          <w:tcPr>
            <w:tcW w:w="1418" w:type="dxa"/>
          </w:tcPr>
          <w:p w:rsidR="00022F2A" w:rsidRPr="000F1A82" w:rsidRDefault="00022F2A" w:rsidP="00E86133">
            <w:pPr>
              <w:jc w:val="center"/>
              <w:rPr>
                <w:sz w:val="28"/>
              </w:rPr>
            </w:pPr>
            <w:r w:rsidRPr="000F1A82">
              <w:rPr>
                <w:sz w:val="28"/>
              </w:rPr>
              <w:t>10</w:t>
            </w:r>
          </w:p>
        </w:tc>
        <w:tc>
          <w:tcPr>
            <w:tcW w:w="5135" w:type="dxa"/>
          </w:tcPr>
          <w:p w:rsidR="00022F2A" w:rsidRPr="000F1A82" w:rsidRDefault="00022F2A" w:rsidP="008B1F78">
            <w:pPr>
              <w:rPr>
                <w:sz w:val="28"/>
              </w:rPr>
            </w:pPr>
            <w:r>
              <w:rPr>
                <w:sz w:val="28"/>
              </w:rPr>
              <w:t xml:space="preserve">The teacher does </w:t>
            </w:r>
            <w:hyperlink r:id="rId26" w:history="1">
              <w:r w:rsidRPr="00822E5B">
                <w:rPr>
                  <w:rStyle w:val="Hyperlink"/>
                  <w:sz w:val="28"/>
                </w:rPr>
                <w:t>direct instruction</w:t>
              </w:r>
            </w:hyperlink>
            <w:r>
              <w:rPr>
                <w:sz w:val="28"/>
              </w:rPr>
              <w:t xml:space="preserve"> using the white board to draw a particle picture to show what is happening to the</w:t>
            </w:r>
            <w:r w:rsidR="00E6241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solute and solvent particles during dissolving.  A computer PHET </w:t>
            </w:r>
            <w:hyperlink r:id="rId27" w:history="1">
              <w:r w:rsidRPr="00822E5B">
                <w:rPr>
                  <w:rStyle w:val="Hyperlink"/>
                  <w:sz w:val="28"/>
                </w:rPr>
                <w:t>model</w:t>
              </w:r>
            </w:hyperlink>
            <w:r>
              <w:rPr>
                <w:sz w:val="28"/>
              </w:rPr>
              <w:t xml:space="preserve"> is also used to support the teacher explanation.  </w:t>
            </w:r>
          </w:p>
        </w:tc>
      </w:tr>
      <w:tr w:rsidR="00022F2A" w:rsidTr="006327FF">
        <w:trPr>
          <w:trHeight w:val="893"/>
        </w:trPr>
        <w:tc>
          <w:tcPr>
            <w:tcW w:w="1668" w:type="dxa"/>
            <w:vMerge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276" w:type="dxa"/>
          </w:tcPr>
          <w:p w:rsidR="00022F2A" w:rsidRPr="00BE5B61" w:rsidRDefault="00022F2A" w:rsidP="00E86133">
            <w:pPr>
              <w:jc w:val="center"/>
              <w:rPr>
                <w:color w:val="008000"/>
                <w:sz w:val="28"/>
              </w:rPr>
            </w:pPr>
            <w:r w:rsidRPr="00BE5B61">
              <w:rPr>
                <w:b/>
                <w:color w:val="008000"/>
                <w:sz w:val="28"/>
              </w:rPr>
              <w:t>B</w:t>
            </w:r>
            <w:r w:rsidRPr="00BE5B61">
              <w:rPr>
                <w:color w:val="008000"/>
                <w:sz w:val="28"/>
              </w:rPr>
              <w:t>uild new content</w:t>
            </w:r>
          </w:p>
        </w:tc>
        <w:tc>
          <w:tcPr>
            <w:tcW w:w="3685" w:type="dxa"/>
          </w:tcPr>
          <w:p w:rsidR="00022F2A" w:rsidRPr="000F1A82" w:rsidRDefault="00022F2A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 xml:space="preserve">Students have the opportunity </w:t>
            </w:r>
            <w:r w:rsidRPr="003A21D9">
              <w:rPr>
                <w:b/>
                <w:sz w:val="28"/>
              </w:rPr>
              <w:t>to practice</w:t>
            </w:r>
            <w:r w:rsidRPr="000F1A82">
              <w:rPr>
                <w:sz w:val="28"/>
              </w:rPr>
              <w:t xml:space="preserve"> what they have learnt</w:t>
            </w:r>
            <w:r>
              <w:rPr>
                <w:sz w:val="28"/>
              </w:rPr>
              <w:t xml:space="preserve"> in the introduce section to consolidate learning</w:t>
            </w:r>
            <w:r w:rsidR="008B1F78">
              <w:rPr>
                <w:sz w:val="28"/>
              </w:rPr>
              <w:t xml:space="preserve"> and </w:t>
            </w:r>
            <w:hyperlink r:id="rId28" w:history="1">
              <w:r w:rsidR="008B1F78" w:rsidRPr="008B1F78">
                <w:rPr>
                  <w:rStyle w:val="Hyperlink"/>
                  <w:sz w:val="28"/>
                </w:rPr>
                <w:t>develop understanding</w:t>
              </w:r>
            </w:hyperlink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022F2A" w:rsidRPr="000F1A82" w:rsidRDefault="00022F2A" w:rsidP="00E86133">
            <w:pPr>
              <w:jc w:val="center"/>
              <w:rPr>
                <w:sz w:val="28"/>
              </w:rPr>
            </w:pPr>
            <w:r w:rsidRPr="000F1A82">
              <w:rPr>
                <w:sz w:val="28"/>
              </w:rPr>
              <w:t>15</w:t>
            </w:r>
          </w:p>
        </w:tc>
        <w:tc>
          <w:tcPr>
            <w:tcW w:w="5135" w:type="dxa"/>
          </w:tcPr>
          <w:p w:rsidR="00022F2A" w:rsidRPr="000F1A82" w:rsidRDefault="00022F2A" w:rsidP="008B1F78">
            <w:pPr>
              <w:rPr>
                <w:sz w:val="28"/>
              </w:rPr>
            </w:pPr>
            <w:r>
              <w:rPr>
                <w:sz w:val="28"/>
              </w:rPr>
              <w:t>Students draw their own particle picture for the demonstration they saw at the start of the lesson.  These are then peer assessed</w:t>
            </w:r>
            <w:r w:rsidR="00E62415">
              <w:rPr>
                <w:sz w:val="28"/>
              </w:rPr>
              <w:t xml:space="preserve"> against the teacher’s model. </w:t>
            </w:r>
            <w:r>
              <w:rPr>
                <w:sz w:val="28"/>
              </w:rPr>
              <w:t xml:space="preserve">Understanding is checked before we move to Apply. </w:t>
            </w:r>
          </w:p>
        </w:tc>
      </w:tr>
      <w:tr w:rsidR="00022F2A" w:rsidTr="006327FF">
        <w:trPr>
          <w:trHeight w:val="3641"/>
        </w:trPr>
        <w:tc>
          <w:tcPr>
            <w:tcW w:w="1668" w:type="dxa"/>
            <w:vMerge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276" w:type="dxa"/>
          </w:tcPr>
          <w:p w:rsidR="00022F2A" w:rsidRPr="00BE5B61" w:rsidRDefault="00022F2A" w:rsidP="00E86133">
            <w:pPr>
              <w:jc w:val="center"/>
              <w:rPr>
                <w:color w:val="008000"/>
                <w:sz w:val="28"/>
              </w:rPr>
            </w:pPr>
            <w:r w:rsidRPr="00BE5B61">
              <w:rPr>
                <w:b/>
                <w:color w:val="008000"/>
                <w:sz w:val="28"/>
              </w:rPr>
              <w:t>A</w:t>
            </w:r>
            <w:r w:rsidRPr="00BE5B61">
              <w:rPr>
                <w:color w:val="008000"/>
                <w:sz w:val="28"/>
              </w:rPr>
              <w:t xml:space="preserve">pply new content </w:t>
            </w:r>
          </w:p>
        </w:tc>
        <w:tc>
          <w:tcPr>
            <w:tcW w:w="3685" w:type="dxa"/>
          </w:tcPr>
          <w:p w:rsidR="00022F2A" w:rsidRPr="000F1A82" w:rsidRDefault="00022F2A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 xml:space="preserve">Students have the opportunity </w:t>
            </w:r>
            <w:r w:rsidRPr="003A21D9">
              <w:rPr>
                <w:b/>
                <w:sz w:val="28"/>
              </w:rPr>
              <w:t>to apply</w:t>
            </w:r>
            <w:r w:rsidRPr="000F1A82">
              <w:rPr>
                <w:sz w:val="28"/>
              </w:rPr>
              <w:t xml:space="preserve"> what they have learnt to new </w:t>
            </w:r>
            <w:r>
              <w:rPr>
                <w:sz w:val="28"/>
              </w:rPr>
              <w:t>situations</w:t>
            </w:r>
            <w:r w:rsidRPr="000F1A82">
              <w:rPr>
                <w:sz w:val="28"/>
              </w:rPr>
              <w:t>.  This</w:t>
            </w:r>
            <w:r>
              <w:rPr>
                <w:sz w:val="28"/>
              </w:rPr>
              <w:t xml:space="preserve"> </w:t>
            </w:r>
            <w:r w:rsidRPr="000F1A82">
              <w:rPr>
                <w:sz w:val="28"/>
              </w:rPr>
              <w:t>will assess understanding</w:t>
            </w:r>
            <w:r>
              <w:rPr>
                <w:sz w:val="28"/>
              </w:rPr>
              <w:t xml:space="preserve"> and </w:t>
            </w:r>
            <w:r w:rsidR="008B1F78">
              <w:rPr>
                <w:sz w:val="28"/>
              </w:rPr>
              <w:t>consolidate understanding</w:t>
            </w:r>
            <w:r>
              <w:rPr>
                <w:sz w:val="28"/>
              </w:rPr>
              <w:t xml:space="preserve">.  </w:t>
            </w:r>
            <w:r w:rsidRPr="000F1A82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022F2A" w:rsidRPr="000F1A82" w:rsidRDefault="00022F2A" w:rsidP="00E86133">
            <w:pPr>
              <w:jc w:val="center"/>
              <w:rPr>
                <w:sz w:val="28"/>
              </w:rPr>
            </w:pPr>
            <w:r w:rsidRPr="000F1A82">
              <w:rPr>
                <w:sz w:val="28"/>
              </w:rPr>
              <w:t>15</w:t>
            </w:r>
          </w:p>
        </w:tc>
        <w:tc>
          <w:tcPr>
            <w:tcW w:w="5135" w:type="dxa"/>
          </w:tcPr>
          <w:p w:rsidR="00022F2A" w:rsidRPr="000F1A82" w:rsidRDefault="00E62415" w:rsidP="008B1F78">
            <w:pPr>
              <w:rPr>
                <w:sz w:val="28"/>
              </w:rPr>
            </w:pPr>
            <w:r>
              <w:rPr>
                <w:sz w:val="28"/>
              </w:rPr>
              <w:t xml:space="preserve">Around the room there are various stations with different solutes and solvents </w:t>
            </w:r>
            <w:r>
              <w:rPr>
                <w:sz w:val="28"/>
              </w:rPr>
              <w:t xml:space="preserve">e.g. a solid that does not </w:t>
            </w:r>
            <w:proofErr w:type="gramStart"/>
            <w:r>
              <w:rPr>
                <w:sz w:val="28"/>
              </w:rPr>
              <w:t>dissolve,</w:t>
            </w:r>
            <w:proofErr w:type="gramEnd"/>
            <w:r>
              <w:rPr>
                <w:sz w:val="28"/>
              </w:rPr>
              <w:t xml:space="preserve"> a solid that dissolves </w:t>
            </w:r>
            <w:r w:rsidR="008B1F78">
              <w:rPr>
                <w:sz w:val="28"/>
              </w:rPr>
              <w:t xml:space="preserve">to form a transparent solution and </w:t>
            </w:r>
            <w:r>
              <w:rPr>
                <w:sz w:val="28"/>
              </w:rPr>
              <w:t xml:space="preserve">a </w:t>
            </w:r>
            <w:r>
              <w:rPr>
                <w:sz w:val="28"/>
              </w:rPr>
              <w:t xml:space="preserve">solid that forms a suspension. Students visit each station, add the solutes and solvents together and then </w:t>
            </w:r>
            <w:r w:rsidR="00022F2A">
              <w:rPr>
                <w:sz w:val="28"/>
              </w:rPr>
              <w:t>draw label</w:t>
            </w:r>
            <w:r>
              <w:rPr>
                <w:sz w:val="28"/>
              </w:rPr>
              <w:t>led</w:t>
            </w:r>
            <w:r w:rsidR="00022F2A">
              <w:rPr>
                <w:sz w:val="28"/>
              </w:rPr>
              <w:t xml:space="preserve"> particle pictures for </w:t>
            </w:r>
            <w:r>
              <w:rPr>
                <w:sz w:val="28"/>
              </w:rPr>
              <w:t xml:space="preserve">each experiment. Student diagrams are then shared using a visualizer for WWW and EBI.  </w:t>
            </w:r>
          </w:p>
        </w:tc>
      </w:tr>
      <w:tr w:rsidR="00022F2A" w:rsidTr="006327FF">
        <w:trPr>
          <w:trHeight w:val="893"/>
        </w:trPr>
        <w:tc>
          <w:tcPr>
            <w:tcW w:w="1668" w:type="dxa"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12506" w:type="dxa"/>
            <w:gridSpan w:val="5"/>
          </w:tcPr>
          <w:p w:rsidR="00022F2A" w:rsidRDefault="00022F2A" w:rsidP="00E62415">
            <w:pPr>
              <w:jc w:val="center"/>
              <w:rPr>
                <w:sz w:val="28"/>
              </w:rPr>
            </w:pPr>
            <w:r w:rsidRPr="00D575DE">
              <w:rPr>
                <w:b/>
                <w:sz w:val="28"/>
              </w:rPr>
              <w:t>Plenary:</w:t>
            </w:r>
            <w:r>
              <w:rPr>
                <w:sz w:val="28"/>
              </w:rPr>
              <w:t xml:space="preserve">  review, as a class, what has been learnt and complete a final assessment of learning</w:t>
            </w:r>
            <w:r w:rsidR="00E62415">
              <w:rPr>
                <w:sz w:val="28"/>
              </w:rPr>
              <w:t xml:space="preserve"> (exit ticket) that is handed to the teacher on the way out. </w:t>
            </w:r>
            <w:r w:rsidR="008B1F78">
              <w:rPr>
                <w:sz w:val="28"/>
              </w:rPr>
              <w:t>Feedback gained from the</w:t>
            </w:r>
            <w:r w:rsidR="00E62415">
              <w:rPr>
                <w:sz w:val="28"/>
              </w:rPr>
              <w:t xml:space="preserve"> exit ticket can then inform the beginning of the next lesson. </w:t>
            </w:r>
          </w:p>
        </w:tc>
      </w:tr>
    </w:tbl>
    <w:p w:rsidR="006327FF" w:rsidRPr="006327FF" w:rsidRDefault="006327FF" w:rsidP="006327FF">
      <w:pPr>
        <w:rPr>
          <w:sz w:val="20"/>
          <w:szCs w:val="20"/>
        </w:rPr>
      </w:pPr>
    </w:p>
    <w:sectPr w:rsidR="006327FF" w:rsidRPr="006327FF" w:rsidSect="000F1A82">
      <w:footerReference w:type="default" r:id="rId29"/>
      <w:pgSz w:w="16838" w:h="11899" w:orient="landscape"/>
      <w:pgMar w:top="851" w:right="1440" w:bottom="1800" w:left="144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2A" w:rsidRDefault="00022F2A">
      <w:r>
        <w:separator/>
      </w:r>
    </w:p>
  </w:endnote>
  <w:endnote w:type="continuationSeparator" w:id="0">
    <w:p w:rsidR="00022F2A" w:rsidRDefault="000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2A" w:rsidRDefault="00022F2A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2A" w:rsidRDefault="00022F2A">
      <w:r>
        <w:separator/>
      </w:r>
    </w:p>
  </w:footnote>
  <w:footnote w:type="continuationSeparator" w:id="0">
    <w:p w:rsidR="00022F2A" w:rsidRDefault="0002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549"/>
    <w:multiLevelType w:val="hybridMultilevel"/>
    <w:tmpl w:val="5FD855AE"/>
    <w:lvl w:ilvl="0" w:tplc="6980B226">
      <w:start w:val="1"/>
      <w:numFmt w:val="decimal"/>
      <w:lvlText w:val="%1."/>
      <w:lvlJc w:val="left"/>
      <w:pPr>
        <w:ind w:left="880" w:hanging="8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1BA1"/>
    <w:multiLevelType w:val="hybridMultilevel"/>
    <w:tmpl w:val="45D8F754"/>
    <w:lvl w:ilvl="0" w:tplc="08090001">
      <w:start w:val="1"/>
      <w:numFmt w:val="bullet"/>
      <w:lvlText w:val=""/>
      <w:lvlJc w:val="left"/>
      <w:pPr>
        <w:ind w:left="880" w:hanging="88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675C3"/>
    <w:multiLevelType w:val="hybridMultilevel"/>
    <w:tmpl w:val="FF3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22F2A"/>
    <w:rsid w:val="000B46BC"/>
    <w:rsid w:val="000F1A82"/>
    <w:rsid w:val="0010278E"/>
    <w:rsid w:val="001068D4"/>
    <w:rsid w:val="0015025D"/>
    <w:rsid w:val="001816DD"/>
    <w:rsid w:val="001B5092"/>
    <w:rsid w:val="00280BF3"/>
    <w:rsid w:val="002A0945"/>
    <w:rsid w:val="002D1AFF"/>
    <w:rsid w:val="002E0F2E"/>
    <w:rsid w:val="00313D88"/>
    <w:rsid w:val="003A21D9"/>
    <w:rsid w:val="003E7358"/>
    <w:rsid w:val="003F36E5"/>
    <w:rsid w:val="00477636"/>
    <w:rsid w:val="004A0366"/>
    <w:rsid w:val="00515F82"/>
    <w:rsid w:val="00560F30"/>
    <w:rsid w:val="00602F15"/>
    <w:rsid w:val="006327FF"/>
    <w:rsid w:val="006A4E6A"/>
    <w:rsid w:val="006E2538"/>
    <w:rsid w:val="007101C9"/>
    <w:rsid w:val="00790A6C"/>
    <w:rsid w:val="007A501B"/>
    <w:rsid w:val="00822E5B"/>
    <w:rsid w:val="008510FC"/>
    <w:rsid w:val="008B1F78"/>
    <w:rsid w:val="008C72FC"/>
    <w:rsid w:val="00951B2E"/>
    <w:rsid w:val="009E49D7"/>
    <w:rsid w:val="00A33943"/>
    <w:rsid w:val="00A74951"/>
    <w:rsid w:val="00A8330A"/>
    <w:rsid w:val="00BC5A54"/>
    <w:rsid w:val="00BE5B61"/>
    <w:rsid w:val="00C127DA"/>
    <w:rsid w:val="00C2416C"/>
    <w:rsid w:val="00C270BB"/>
    <w:rsid w:val="00D575DE"/>
    <w:rsid w:val="00D76679"/>
    <w:rsid w:val="00DA4BB9"/>
    <w:rsid w:val="00DE107D"/>
    <w:rsid w:val="00E001E1"/>
    <w:rsid w:val="00E00DBC"/>
    <w:rsid w:val="00E62415"/>
    <w:rsid w:val="00E63639"/>
    <w:rsid w:val="00E8532E"/>
    <w:rsid w:val="00E86133"/>
    <w:rsid w:val="00E95635"/>
    <w:rsid w:val="00EB2E75"/>
    <w:rsid w:val="00ED75C3"/>
    <w:rsid w:val="00EF4FAE"/>
    <w:rsid w:val="00F71CC9"/>
    <w:rsid w:val="00F76701"/>
    <w:rsid w:val="00F8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5B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5B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escienceteacher.co.uk/peer-assessment-in-science/" TargetMode="External"/><Relationship Id="rId18" Type="http://schemas.openxmlformats.org/officeDocument/2006/relationships/hyperlink" Target="http://thescienceteacher.co.uk/objectives-in-science-lessons/" TargetMode="External"/><Relationship Id="rId26" Type="http://schemas.openxmlformats.org/officeDocument/2006/relationships/hyperlink" Target="http://thescienceteacher.co.uk/direct-instruction/" TargetMode="External"/><Relationship Id="rId3" Type="http://schemas.openxmlformats.org/officeDocument/2006/relationships/styles" Target="styles.xml"/><Relationship Id="rId21" Type="http://schemas.openxmlformats.org/officeDocument/2006/relationships/hyperlink" Target="http://thescienceteacher.co.uk/scientific-skill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hescienceteacher.co.uk/questioning-in-science/" TargetMode="External"/><Relationship Id="rId17" Type="http://schemas.openxmlformats.org/officeDocument/2006/relationships/hyperlink" Target="http://thescienceteacher.co.uk/the-science-do-now/" TargetMode="External"/><Relationship Id="rId25" Type="http://schemas.openxmlformats.org/officeDocument/2006/relationships/hyperlink" Target="http://thescienceteacher.co.uk/science-in-contex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scienceteacher.co.uk/peer-assessment-in-science/" TargetMode="External"/><Relationship Id="rId20" Type="http://schemas.openxmlformats.org/officeDocument/2006/relationships/hyperlink" Target="http://thescienceteacher.co.uk/objectives-in-science-lesson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escienceteacher.co.uk/assessment/" TargetMode="External"/><Relationship Id="rId24" Type="http://schemas.openxmlformats.org/officeDocument/2006/relationships/hyperlink" Target="https://www.stem.org.uk/elibrary/resource/264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hescienceteacher.co.uk/questioning-in-science/" TargetMode="External"/><Relationship Id="rId23" Type="http://schemas.openxmlformats.org/officeDocument/2006/relationships/hyperlink" Target="http://thescienceteacher.co.uk/prior-knowledge/" TargetMode="External"/><Relationship Id="rId28" Type="http://schemas.openxmlformats.org/officeDocument/2006/relationships/hyperlink" Target="http://thescienceteacher.co.uk/knoweldge-in-science/" TargetMode="External"/><Relationship Id="rId10" Type="http://schemas.openxmlformats.org/officeDocument/2006/relationships/hyperlink" Target="http://www.thescienceteacher.co.uk/teaching-and-learning" TargetMode="External"/><Relationship Id="rId19" Type="http://schemas.openxmlformats.org/officeDocument/2006/relationships/hyperlink" Target="http://thescienceteacher.co.uk/literacy-for-science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hescienceteacher.co.uk/assessment/" TargetMode="External"/><Relationship Id="rId22" Type="http://schemas.openxmlformats.org/officeDocument/2006/relationships/hyperlink" Target="http://thescienceteacher.co.uk/misconceptions-in-science-education/" TargetMode="External"/><Relationship Id="rId27" Type="http://schemas.openxmlformats.org/officeDocument/2006/relationships/hyperlink" Target="http://thescienceteacher.co.uk/models-in-science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9900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EE41-B61B-42E2-9853-B4E44D88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3</cp:revision>
  <cp:lastPrinted>2016-07-22T13:21:00Z</cp:lastPrinted>
  <dcterms:created xsi:type="dcterms:W3CDTF">2016-07-22T13:21:00Z</dcterms:created>
  <dcterms:modified xsi:type="dcterms:W3CDTF">2016-07-22T13:23:00Z</dcterms:modified>
</cp:coreProperties>
</file>