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613" w:type="dxa"/>
        <w:tblLook w:val="00BF"/>
      </w:tblPr>
      <w:tblGrid>
        <w:gridCol w:w="1384"/>
        <w:gridCol w:w="2378"/>
        <w:gridCol w:w="1166"/>
        <w:gridCol w:w="3685"/>
      </w:tblGrid>
      <w:tr w:rsidR="002E0F2E">
        <w:tc>
          <w:tcPr>
            <w:tcW w:w="1384" w:type="dxa"/>
          </w:tcPr>
          <w:p w:rsidR="002E0F2E" w:rsidRPr="00533F8A" w:rsidRDefault="002E0F2E" w:rsidP="00533F8A">
            <w:pPr>
              <w:rPr>
                <w:b/>
                <w:color w:val="008000"/>
              </w:rPr>
            </w:pPr>
            <w:bookmarkStart w:id="0" w:name="OLE_LINK1"/>
            <w:r w:rsidRPr="00533F8A">
              <w:rPr>
                <w:b/>
                <w:color w:val="008000"/>
              </w:rPr>
              <w:t>Topic</w:t>
            </w:r>
          </w:p>
        </w:tc>
        <w:tc>
          <w:tcPr>
            <w:tcW w:w="2378" w:type="dxa"/>
          </w:tcPr>
          <w:p w:rsidR="0004369B" w:rsidRPr="0004369B" w:rsidRDefault="0004369B" w:rsidP="0004369B">
            <w:pPr>
              <w:rPr>
                <w:color w:val="000000" w:themeColor="text1"/>
              </w:rPr>
            </w:pPr>
            <w:r w:rsidRPr="0004369B">
              <w:rPr>
                <w:color w:val="000000" w:themeColor="text1"/>
              </w:rPr>
              <w:t>Non-contact forces</w:t>
            </w:r>
          </w:p>
          <w:p w:rsidR="0004369B" w:rsidRPr="0004369B" w:rsidRDefault="0004369B" w:rsidP="0004369B">
            <w:pPr>
              <w:rPr>
                <w:color w:val="000000" w:themeColor="text1"/>
              </w:rPr>
            </w:pPr>
            <w:r w:rsidRPr="0004369B">
              <w:rPr>
                <w:color w:val="000000" w:themeColor="text1"/>
              </w:rPr>
              <w:t>Weight and mass</w:t>
            </w:r>
          </w:p>
          <w:p w:rsidR="002E0F2E" w:rsidRPr="00533F8A" w:rsidRDefault="002E0F2E" w:rsidP="00533F8A">
            <w:pPr>
              <w:rPr>
                <w:color w:val="000000" w:themeColor="text1"/>
              </w:rPr>
            </w:pPr>
          </w:p>
        </w:tc>
        <w:tc>
          <w:tcPr>
            <w:tcW w:w="1166" w:type="dxa"/>
          </w:tcPr>
          <w:p w:rsidR="002E0F2E" w:rsidRPr="00533F8A" w:rsidRDefault="002E0F2E" w:rsidP="00533F8A">
            <w:pPr>
              <w:rPr>
                <w:b/>
                <w:color w:val="008000"/>
                <w:sz w:val="28"/>
              </w:rPr>
            </w:pPr>
            <w:r w:rsidRPr="00533F8A">
              <w:rPr>
                <w:b/>
                <w:color w:val="008000"/>
                <w:sz w:val="28"/>
              </w:rPr>
              <w:t>Level</w:t>
            </w:r>
          </w:p>
        </w:tc>
        <w:tc>
          <w:tcPr>
            <w:tcW w:w="3685" w:type="dxa"/>
          </w:tcPr>
          <w:p w:rsidR="002E0F2E" w:rsidRPr="007A501B" w:rsidRDefault="002E0F2E" w:rsidP="004F6496">
            <w:pPr>
              <w:rPr>
                <w:color w:val="000000" w:themeColor="text1"/>
              </w:rPr>
            </w:pPr>
            <w:r w:rsidRPr="007A501B">
              <w:rPr>
                <w:color w:val="000000" w:themeColor="text1"/>
              </w:rPr>
              <w:t>GCSE</w:t>
            </w:r>
            <w:r w:rsidR="0004369B">
              <w:rPr>
                <w:color w:val="000000" w:themeColor="text1"/>
              </w:rPr>
              <w:t xml:space="preserve"> (or any course for students aged 11-16)</w:t>
            </w:r>
          </w:p>
        </w:tc>
      </w:tr>
      <w:tr w:rsidR="002E0F2E">
        <w:trPr>
          <w:trHeight w:val="682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2E0F2E" w:rsidRPr="00533F8A" w:rsidRDefault="002E0F2E" w:rsidP="00533F8A">
            <w:pPr>
              <w:rPr>
                <w:b/>
                <w:color w:val="008000"/>
              </w:rPr>
            </w:pPr>
            <w:r w:rsidRPr="00533F8A">
              <w:rPr>
                <w:b/>
                <w:color w:val="008000"/>
              </w:rPr>
              <w:t xml:space="preserve">Outcomes </w:t>
            </w: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</w:tcPr>
          <w:p w:rsidR="0004369B" w:rsidRPr="0004369B" w:rsidRDefault="0004369B" w:rsidP="0004369B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04369B">
              <w:rPr>
                <w:color w:val="000000" w:themeColor="text1"/>
              </w:rPr>
              <w:t>To understand the difference between contact and non-contact forces</w:t>
            </w:r>
          </w:p>
          <w:p w:rsidR="0004369B" w:rsidRDefault="0004369B" w:rsidP="0004369B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04369B">
              <w:rPr>
                <w:color w:val="000000" w:themeColor="text1"/>
              </w:rPr>
              <w:t xml:space="preserve">To understand the difference between weight and mass </w:t>
            </w:r>
          </w:p>
          <w:p w:rsidR="0004369B" w:rsidRDefault="0004369B" w:rsidP="0004369B">
            <w:pPr>
              <w:rPr>
                <w:color w:val="000000" w:themeColor="text1"/>
              </w:rPr>
            </w:pPr>
          </w:p>
          <w:p w:rsidR="002E0F2E" w:rsidRPr="0004369B" w:rsidRDefault="0004369B" w:rsidP="000436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This demonstration was contributed by Katharine Barber </w:t>
            </w:r>
          </w:p>
        </w:tc>
      </w:tr>
      <w:bookmarkEnd w:id="0"/>
    </w:tbl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04369B" w:rsidRPr="0004369B" w:rsidRDefault="0004369B" w:rsidP="0004369B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A demonstration for teaching students about non-contact forces,</w:t>
      </w:r>
      <w:r w:rsidRPr="0004369B">
        <w:rPr>
          <w:rFonts w:ascii="Cambria" w:hAnsi="Cambria"/>
          <w:b/>
          <w:sz w:val="28"/>
        </w:rPr>
        <w:t xml:space="preserve"> </w:t>
      </w:r>
      <w:r>
        <w:rPr>
          <w:rFonts w:ascii="Cambria" w:hAnsi="Cambria"/>
          <w:b/>
          <w:sz w:val="28"/>
        </w:rPr>
        <w:t>w</w:t>
      </w:r>
      <w:r w:rsidRPr="0004369B">
        <w:rPr>
          <w:rFonts w:ascii="Cambria" w:hAnsi="Cambria"/>
          <w:b/>
          <w:sz w:val="28"/>
        </w:rPr>
        <w:t>eight and mass</w:t>
      </w:r>
    </w:p>
    <w:p w:rsidR="0004369B" w:rsidRPr="00E56293" w:rsidRDefault="0004369B" w:rsidP="0004369B">
      <w:pPr>
        <w:rPr>
          <w:sz w:val="28"/>
        </w:rPr>
      </w:pPr>
    </w:p>
    <w:p w:rsidR="0004369B" w:rsidRPr="008E1FAE" w:rsidRDefault="0004369B" w:rsidP="0004369B">
      <w:pPr>
        <w:rPr>
          <w:b/>
          <w:sz w:val="28"/>
        </w:rPr>
      </w:pPr>
      <w:r w:rsidRPr="008E1FAE">
        <w:rPr>
          <w:b/>
          <w:sz w:val="28"/>
        </w:rPr>
        <w:t>You will need:</w:t>
      </w:r>
    </w:p>
    <w:p w:rsidR="0004369B" w:rsidRPr="00E56293" w:rsidRDefault="0004369B" w:rsidP="0004369B">
      <w:pPr>
        <w:rPr>
          <w:sz w:val="28"/>
        </w:rPr>
      </w:pPr>
      <w:r>
        <w:rPr>
          <w:sz w:val="28"/>
        </w:rPr>
        <w:t>A s</w:t>
      </w:r>
      <w:r w:rsidRPr="00E56293">
        <w:rPr>
          <w:sz w:val="28"/>
        </w:rPr>
        <w:t>ensitive balance (to 3dp works well)</w:t>
      </w:r>
    </w:p>
    <w:p w:rsidR="0004369B" w:rsidRPr="00E56293" w:rsidRDefault="0004369B" w:rsidP="0004369B">
      <w:pPr>
        <w:rPr>
          <w:sz w:val="28"/>
        </w:rPr>
      </w:pPr>
      <w:r w:rsidRPr="00E56293">
        <w:rPr>
          <w:sz w:val="28"/>
        </w:rPr>
        <w:t>2 bar magnets</w:t>
      </w:r>
    </w:p>
    <w:p w:rsidR="0004369B" w:rsidRPr="00E56293" w:rsidRDefault="0004369B" w:rsidP="0004369B">
      <w:pPr>
        <w:rPr>
          <w:sz w:val="28"/>
        </w:rPr>
      </w:pPr>
    </w:p>
    <w:p w:rsidR="0004369B" w:rsidRPr="008E1FAE" w:rsidRDefault="0004369B" w:rsidP="0004369B">
      <w:pPr>
        <w:rPr>
          <w:b/>
          <w:sz w:val="28"/>
        </w:rPr>
      </w:pPr>
      <w:r w:rsidRPr="008E1FAE">
        <w:rPr>
          <w:b/>
          <w:sz w:val="28"/>
        </w:rPr>
        <w:t>Instructions for the demonstration:</w:t>
      </w:r>
    </w:p>
    <w:p w:rsidR="0004369B" w:rsidRDefault="0004369B" w:rsidP="0004369B">
      <w:pPr>
        <w:rPr>
          <w:sz w:val="28"/>
        </w:rPr>
      </w:pPr>
      <w:r w:rsidRPr="00E56293">
        <w:rPr>
          <w:sz w:val="28"/>
        </w:rPr>
        <w:t>Set up the equipment so that</w:t>
      </w:r>
      <w:r>
        <w:rPr>
          <w:sz w:val="28"/>
        </w:rPr>
        <w:t xml:space="preserve"> one of the</w:t>
      </w:r>
      <w:r w:rsidRPr="00E56293">
        <w:rPr>
          <w:sz w:val="28"/>
        </w:rPr>
        <w:t xml:space="preserve"> bar magnets stands vertically on the balance. Either note down the mass of the magnet or tare the balance. </w:t>
      </w:r>
    </w:p>
    <w:p w:rsidR="0004369B" w:rsidRDefault="0004369B" w:rsidP="0004369B">
      <w:pPr>
        <w:rPr>
          <w:sz w:val="28"/>
        </w:rPr>
      </w:pPr>
    </w:p>
    <w:p w:rsidR="0004369B" w:rsidRPr="0004369B" w:rsidRDefault="0004369B" w:rsidP="0004369B">
      <w:pPr>
        <w:pStyle w:val="ListParagraph"/>
        <w:numPr>
          <w:ilvl w:val="0"/>
          <w:numId w:val="5"/>
        </w:numPr>
        <w:rPr>
          <w:sz w:val="28"/>
        </w:rPr>
      </w:pPr>
      <w:r w:rsidRPr="0004369B">
        <w:rPr>
          <w:sz w:val="28"/>
        </w:rPr>
        <w:t xml:space="preserve">Ask the class to </w:t>
      </w:r>
      <w:r w:rsidRPr="0004369B">
        <w:rPr>
          <w:b/>
          <w:sz w:val="28"/>
        </w:rPr>
        <w:t>predict</w:t>
      </w:r>
      <w:r w:rsidRPr="0004369B">
        <w:rPr>
          <w:sz w:val="28"/>
        </w:rPr>
        <w:t xml:space="preserve"> what they think will happen if you bring the other magnet towards the magnet on the balance. </w:t>
      </w:r>
    </w:p>
    <w:p w:rsidR="0004369B" w:rsidRPr="0004369B" w:rsidRDefault="0004369B" w:rsidP="0004369B">
      <w:pPr>
        <w:pStyle w:val="ListParagraph"/>
        <w:numPr>
          <w:ilvl w:val="0"/>
          <w:numId w:val="5"/>
        </w:numPr>
        <w:rPr>
          <w:sz w:val="28"/>
        </w:rPr>
      </w:pPr>
      <w:r w:rsidRPr="0004369B">
        <w:rPr>
          <w:sz w:val="28"/>
        </w:rPr>
        <w:t xml:space="preserve">With the other magnet, slowly approach from above to either attract or repel and watch the balance. </w:t>
      </w:r>
    </w:p>
    <w:p w:rsidR="0004369B" w:rsidRPr="0004369B" w:rsidRDefault="0004369B" w:rsidP="0004369B">
      <w:pPr>
        <w:pStyle w:val="ListParagraph"/>
        <w:numPr>
          <w:ilvl w:val="0"/>
          <w:numId w:val="5"/>
        </w:numPr>
        <w:rPr>
          <w:sz w:val="28"/>
        </w:rPr>
      </w:pPr>
      <w:r w:rsidRPr="0004369B">
        <w:rPr>
          <w:sz w:val="28"/>
        </w:rPr>
        <w:t xml:space="preserve">Ask students to then </w:t>
      </w:r>
      <w:r w:rsidRPr="0004369B">
        <w:rPr>
          <w:b/>
          <w:sz w:val="28"/>
        </w:rPr>
        <w:t xml:space="preserve">observe </w:t>
      </w:r>
      <w:r w:rsidRPr="0004369B">
        <w:rPr>
          <w:sz w:val="28"/>
        </w:rPr>
        <w:t xml:space="preserve">the balance and </w:t>
      </w:r>
      <w:r w:rsidRPr="0004369B">
        <w:rPr>
          <w:b/>
          <w:sz w:val="28"/>
        </w:rPr>
        <w:t>explain</w:t>
      </w:r>
      <w:r w:rsidRPr="0004369B">
        <w:rPr>
          <w:sz w:val="28"/>
        </w:rPr>
        <w:t xml:space="preserve"> what they think is happening. </w:t>
      </w:r>
    </w:p>
    <w:p w:rsidR="0004369B" w:rsidRDefault="0004369B" w:rsidP="0004369B">
      <w:pPr>
        <w:rPr>
          <w:sz w:val="28"/>
        </w:rPr>
      </w:pPr>
    </w:p>
    <w:p w:rsidR="0004369B" w:rsidRPr="0004369B" w:rsidRDefault="0004369B" w:rsidP="0004369B">
      <w:pPr>
        <w:rPr>
          <w:b/>
          <w:sz w:val="28"/>
        </w:rPr>
      </w:pPr>
      <w:r w:rsidRPr="0004369B">
        <w:rPr>
          <w:b/>
          <w:sz w:val="28"/>
        </w:rPr>
        <w:t xml:space="preserve">Questions you can pose: </w:t>
      </w:r>
    </w:p>
    <w:p w:rsidR="0004369B" w:rsidRPr="00E56293" w:rsidRDefault="0004369B" w:rsidP="0004369B">
      <w:pPr>
        <w:rPr>
          <w:sz w:val="28"/>
        </w:rPr>
      </w:pPr>
      <w:r w:rsidRPr="00E56293">
        <w:rPr>
          <w:sz w:val="28"/>
        </w:rPr>
        <w:t>Why don’t I need to touch the magnet to change the reading?</w:t>
      </w:r>
      <w:r>
        <w:rPr>
          <w:sz w:val="28"/>
        </w:rPr>
        <w:t xml:space="preserve"> </w:t>
      </w:r>
      <w:r w:rsidRPr="00E56293">
        <w:rPr>
          <w:sz w:val="28"/>
        </w:rPr>
        <w:t>Is the mass of the magnet changing?</w:t>
      </w:r>
      <w:r>
        <w:rPr>
          <w:sz w:val="28"/>
        </w:rPr>
        <w:t xml:space="preserve"> </w:t>
      </w:r>
      <w:r w:rsidRPr="00E56293">
        <w:rPr>
          <w:sz w:val="28"/>
        </w:rPr>
        <w:t>Why is the weight changing? What does weight depend on? Ca</w:t>
      </w:r>
      <w:r>
        <w:rPr>
          <w:sz w:val="28"/>
        </w:rPr>
        <w:t xml:space="preserve">n you </w:t>
      </w:r>
      <w:r w:rsidRPr="00E56293">
        <w:rPr>
          <w:sz w:val="28"/>
        </w:rPr>
        <w:t>c</w:t>
      </w:r>
      <w:r>
        <w:rPr>
          <w:sz w:val="28"/>
        </w:rPr>
        <w:t>alc</w:t>
      </w:r>
      <w:r w:rsidRPr="00E56293">
        <w:rPr>
          <w:sz w:val="28"/>
        </w:rPr>
        <w:t>ulate the weight of the magnet?</w:t>
      </w:r>
    </w:p>
    <w:p w:rsidR="0004369B" w:rsidRPr="00E56293" w:rsidRDefault="0004369B" w:rsidP="0004369B">
      <w:pPr>
        <w:rPr>
          <w:sz w:val="28"/>
        </w:rPr>
      </w:pPr>
      <w:r w:rsidRPr="00E56293">
        <w:rPr>
          <w:sz w:val="28"/>
        </w:rPr>
        <w:t xml:space="preserve">Get them to predict what will happen if you turn the moving magnet up the other way (so it’s doing the opposite). </w:t>
      </w:r>
    </w:p>
    <w:p w:rsidR="0004369B" w:rsidRDefault="0004369B" w:rsidP="0004369B">
      <w:pPr>
        <w:rPr>
          <w:sz w:val="28"/>
        </w:rPr>
      </w:pPr>
    </w:p>
    <w:p w:rsidR="002E0F2E" w:rsidRPr="0004369B" w:rsidRDefault="0004369B" w:rsidP="006A4E6A">
      <w:pPr>
        <w:rPr>
          <w:sz w:val="28"/>
        </w:rPr>
      </w:pPr>
      <w:r w:rsidRPr="00E56293">
        <w:rPr>
          <w:sz w:val="28"/>
        </w:rPr>
        <w:t xml:space="preserve">This </w:t>
      </w:r>
      <w:r>
        <w:rPr>
          <w:sz w:val="28"/>
        </w:rPr>
        <w:t xml:space="preserve">demonstration </w:t>
      </w:r>
      <w:r w:rsidRPr="00E56293">
        <w:rPr>
          <w:sz w:val="28"/>
        </w:rPr>
        <w:t>works nicely if you tare the balance so that you can see the negative/positive numbers. This can also give a sense of vector quantities for forces.</w:t>
      </w:r>
    </w:p>
    <w:p w:rsidR="002E0F2E" w:rsidRDefault="002E0F2E" w:rsidP="006A4E6A">
      <w:pPr>
        <w:rPr>
          <w:color w:val="008000"/>
        </w:rPr>
      </w:pPr>
    </w:p>
    <w:p w:rsidR="001068D4" w:rsidRPr="0004369B" w:rsidRDefault="002E0F2E" w:rsidP="006A4E6A">
      <w:pPr>
        <w:rPr>
          <w:color w:val="000000" w:themeColor="text1"/>
        </w:rPr>
      </w:pPr>
      <w:r w:rsidRPr="00280BF3">
        <w:rPr>
          <w:b/>
          <w:color w:val="008000"/>
        </w:rPr>
        <w:t>Progress:</w:t>
      </w:r>
      <w:r>
        <w:rPr>
          <w:color w:val="000000" w:themeColor="text1"/>
        </w:rPr>
        <w:t xml:space="preserve">  </w:t>
      </w:r>
      <w:r w:rsidR="00280BF3">
        <w:rPr>
          <w:color w:val="000000" w:themeColor="text1"/>
        </w:rPr>
        <w:t xml:space="preserve"> </w:t>
      </w:r>
      <w:r w:rsidRPr="00280BF3">
        <w:rPr>
          <w:color w:val="404040" w:themeColor="text1" w:themeTint="BF"/>
        </w:rPr>
        <w:t xml:space="preserve">further resources on </w:t>
      </w:r>
      <w:r w:rsidR="0004369B">
        <w:rPr>
          <w:color w:val="404040" w:themeColor="text1" w:themeTint="BF"/>
        </w:rPr>
        <w:t>forces</w:t>
      </w:r>
      <w:r w:rsidRPr="00280BF3">
        <w:rPr>
          <w:color w:val="404040" w:themeColor="text1" w:themeTint="BF"/>
        </w:rPr>
        <w:t xml:space="preserve"> are available here</w:t>
      </w:r>
      <w:proofErr w:type="gramStart"/>
      <w:r w:rsidR="00280BF3">
        <w:rPr>
          <w:color w:val="404040" w:themeColor="text1" w:themeTint="BF"/>
        </w:rPr>
        <w:t xml:space="preserve">: </w:t>
      </w:r>
      <w:r w:rsidR="00951B2E" w:rsidRPr="00280BF3">
        <w:rPr>
          <w:color w:val="008000"/>
        </w:rPr>
        <w:t xml:space="preserve"> </w:t>
      </w:r>
      <w:proofErr w:type="gramEnd"/>
      <w:hyperlink r:id="rId5" w:history="1">
        <w:r w:rsidR="0004369B" w:rsidRPr="0004369B">
          <w:rPr>
            <w:rStyle w:val="Hyperlink"/>
            <w:color w:val="008000"/>
          </w:rPr>
          <w:t>http://thescienceteacher.co.uk/forces/</w:t>
        </w:r>
      </w:hyperlink>
    </w:p>
    <w:sectPr w:rsidR="001068D4" w:rsidRPr="0004369B" w:rsidSect="001816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9" w:footer="102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D4" w:rsidRDefault="00827D15">
    <w:pPr>
      <w:pStyle w:val="Footer"/>
    </w:pPr>
    <w:hyperlink r:id="rId1" w:history="1">
      <w:r w:rsidR="00EB2E75" w:rsidRPr="00EB2E75">
        <w:rPr>
          <w:rStyle w:val="Hyperlink"/>
          <w:color w:val="008000"/>
          <w:u w:val="none"/>
        </w:rPr>
        <w:t>www.thescienceteacher.co.uk</w:t>
      </w:r>
    </w:hyperlink>
    <w:r w:rsidR="00477636">
      <w:t xml:space="preserve"> </w:t>
    </w:r>
    <w:r w:rsidR="001068D4">
      <w:t xml:space="preserve">| resources for science teachers who like to think    </w:t>
    </w:r>
    <w:r w:rsidR="001068D4">
      <w:tab/>
      <w:t xml:space="preserve">  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2438C"/>
    <w:multiLevelType w:val="hybridMultilevel"/>
    <w:tmpl w:val="9CA858C6"/>
    <w:lvl w:ilvl="0" w:tplc="857E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566C70"/>
    <w:multiLevelType w:val="hybridMultilevel"/>
    <w:tmpl w:val="D9BE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97194"/>
    <w:multiLevelType w:val="hybridMultilevel"/>
    <w:tmpl w:val="1BEEF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C1253"/>
    <w:multiLevelType w:val="hybridMultilevel"/>
    <w:tmpl w:val="F29E2540"/>
    <w:lvl w:ilvl="0" w:tplc="70A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253B7"/>
    <w:multiLevelType w:val="hybridMultilevel"/>
    <w:tmpl w:val="C2885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5092"/>
    <w:rsid w:val="0004369B"/>
    <w:rsid w:val="000B46BC"/>
    <w:rsid w:val="0010278E"/>
    <w:rsid w:val="001068D4"/>
    <w:rsid w:val="001816DD"/>
    <w:rsid w:val="001B5092"/>
    <w:rsid w:val="00280BF3"/>
    <w:rsid w:val="002A0945"/>
    <w:rsid w:val="002D1AFF"/>
    <w:rsid w:val="002E0F2E"/>
    <w:rsid w:val="00313D88"/>
    <w:rsid w:val="003F36E5"/>
    <w:rsid w:val="00477636"/>
    <w:rsid w:val="004A0366"/>
    <w:rsid w:val="00515F82"/>
    <w:rsid w:val="00602F15"/>
    <w:rsid w:val="006A4E6A"/>
    <w:rsid w:val="007A501B"/>
    <w:rsid w:val="00827D15"/>
    <w:rsid w:val="00951B2E"/>
    <w:rsid w:val="009E49D7"/>
    <w:rsid w:val="00A33943"/>
    <w:rsid w:val="00A74951"/>
    <w:rsid w:val="00A8330A"/>
    <w:rsid w:val="00C127DA"/>
    <w:rsid w:val="00DA4BB9"/>
    <w:rsid w:val="00DE107D"/>
    <w:rsid w:val="00E001E1"/>
    <w:rsid w:val="00E8532E"/>
    <w:rsid w:val="00E95635"/>
    <w:rsid w:val="00EB2E75"/>
    <w:rsid w:val="00ED75C3"/>
    <w:rsid w:val="00EF4FAE"/>
    <w:rsid w:val="00F71CC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hescienceteacher.co.uk/forces/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1309</Characters>
  <Application>Microsoft Macintosh Word</Application>
  <DocSecurity>4</DocSecurity>
  <Lines>10</Lines>
  <Paragraphs>2</Paragraphs>
  <ScaleCrop>false</ScaleCrop>
  <Company>University of York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Green</dc:creator>
  <cp:keywords/>
  <cp:lastModifiedBy>Jasper Green</cp:lastModifiedBy>
  <cp:revision>2</cp:revision>
  <cp:lastPrinted>2014-10-12T15:11:00Z</cp:lastPrinted>
  <dcterms:created xsi:type="dcterms:W3CDTF">2016-10-22T13:51:00Z</dcterms:created>
  <dcterms:modified xsi:type="dcterms:W3CDTF">2016-10-22T13:51:00Z</dcterms:modified>
</cp:coreProperties>
</file>