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85" w:type="dxa"/>
        <w:tblLook w:val="00BF" w:firstRow="1" w:lastRow="0" w:firstColumn="1" w:lastColumn="0" w:noHBand="0" w:noVBand="0"/>
      </w:tblPr>
      <w:tblGrid>
        <w:gridCol w:w="2183"/>
        <w:gridCol w:w="3751"/>
        <w:gridCol w:w="1839"/>
        <w:gridCol w:w="5812"/>
      </w:tblGrid>
      <w:tr w:rsidR="002E0F2E">
        <w:trPr>
          <w:trHeight w:val="294"/>
        </w:trPr>
        <w:tc>
          <w:tcPr>
            <w:tcW w:w="2183" w:type="dxa"/>
          </w:tcPr>
          <w:p w:rsidR="002E0F2E" w:rsidRPr="00533F8A" w:rsidRDefault="002E0F2E" w:rsidP="00D249FE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3751" w:type="dxa"/>
          </w:tcPr>
          <w:p w:rsidR="002E0F2E" w:rsidRPr="00533F8A" w:rsidRDefault="00D249FE" w:rsidP="00D249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Enzymes</w:t>
            </w:r>
          </w:p>
        </w:tc>
        <w:tc>
          <w:tcPr>
            <w:tcW w:w="1839" w:type="dxa"/>
          </w:tcPr>
          <w:p w:rsidR="002E0F2E" w:rsidRPr="00533F8A" w:rsidRDefault="002E0F2E" w:rsidP="00D249FE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5812" w:type="dxa"/>
          </w:tcPr>
          <w:p w:rsidR="002E0F2E" w:rsidRPr="007A501B" w:rsidRDefault="002E0F2E" w:rsidP="00D249FE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C352D2">
              <w:rPr>
                <w:color w:val="000000" w:themeColor="text1"/>
              </w:rPr>
              <w:t xml:space="preserve"> (or any other course for students aged 11-16)</w:t>
            </w:r>
          </w:p>
        </w:tc>
      </w:tr>
      <w:tr w:rsidR="002E0F2E">
        <w:trPr>
          <w:trHeight w:val="627"/>
        </w:trPr>
        <w:tc>
          <w:tcPr>
            <w:tcW w:w="2183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D249FE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11402" w:type="dxa"/>
            <w:gridSpan w:val="3"/>
            <w:tcBorders>
              <w:bottom w:val="single" w:sz="4" w:space="0" w:color="000000" w:themeColor="text1"/>
            </w:tcBorders>
          </w:tcPr>
          <w:p w:rsidR="002E0F2E" w:rsidRPr="00533F8A" w:rsidRDefault="002E0F2E" w:rsidP="00D249FE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D249FE">
              <w:rPr>
                <w:color w:val="000000" w:themeColor="text1"/>
              </w:rPr>
              <w:t>be able apply your knowledge of enzymes to</w:t>
            </w:r>
            <w:r w:rsidR="00C352D2">
              <w:rPr>
                <w:color w:val="000000" w:themeColor="text1"/>
              </w:rPr>
              <w:t xml:space="preserve"> explain</w:t>
            </w:r>
            <w:r w:rsidR="00D249FE">
              <w:rPr>
                <w:color w:val="000000" w:themeColor="text1"/>
              </w:rPr>
              <w:t xml:space="preserve"> new </w:t>
            </w:r>
            <w:r w:rsidR="00C352D2">
              <w:rPr>
                <w:color w:val="000000" w:themeColor="text1"/>
              </w:rPr>
              <w:t xml:space="preserve">observations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E8532E" w:rsidRDefault="00E8532E" w:rsidP="006A4E6A">
      <w:pPr>
        <w:rPr>
          <w:color w:val="008000"/>
        </w:rPr>
      </w:pPr>
    </w:p>
    <w:p w:rsidR="00E8532E" w:rsidRDefault="00E8532E" w:rsidP="006A4E6A">
      <w:pPr>
        <w:rPr>
          <w:color w:val="008000"/>
        </w:rPr>
      </w:pPr>
    </w:p>
    <w:p w:rsidR="00E8532E" w:rsidRDefault="00E8532E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Pr="00D249FE" w:rsidRDefault="002E0F2E" w:rsidP="002E0F2E">
      <w:pPr>
        <w:rPr>
          <w:color w:val="008000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D249FE">
        <w:rPr>
          <w:color w:val="404040" w:themeColor="text1" w:themeTint="BF"/>
        </w:rPr>
        <w:t>biochemistry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hyperlink r:id="rId8" w:history="1">
        <w:r w:rsidR="00D249FE" w:rsidRPr="00D249FE">
          <w:rPr>
            <w:rStyle w:val="Hyperlink"/>
            <w:color w:val="008000"/>
          </w:rPr>
          <w:t>http://www.thescienceteacher.co.uk/biochemistry</w:t>
        </w:r>
      </w:hyperlink>
      <w:r w:rsidR="00D249FE" w:rsidRPr="00D249FE">
        <w:rPr>
          <w:color w:val="008000"/>
        </w:rPr>
        <w:tab/>
      </w:r>
    </w:p>
    <w:p w:rsidR="00C352D2" w:rsidRDefault="00C352D2" w:rsidP="006A4E6A">
      <w:pPr>
        <w:rPr>
          <w:color w:val="008000"/>
        </w:rPr>
      </w:pPr>
    </w:p>
    <w:p w:rsidR="00C352D2" w:rsidRDefault="00C352D2" w:rsidP="006A4E6A">
      <w:pPr>
        <w:rPr>
          <w:color w:val="008000"/>
        </w:rPr>
      </w:pPr>
    </w:p>
    <w:p w:rsidR="00C352D2" w:rsidRDefault="00C352D2" w:rsidP="006A4E6A">
      <w:pPr>
        <w:rPr>
          <w:color w:val="008000"/>
        </w:rPr>
      </w:pPr>
    </w:p>
    <w:p w:rsidR="00C352D2" w:rsidRDefault="00C352D2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543"/>
        <w:gridCol w:w="4543"/>
        <w:gridCol w:w="4544"/>
      </w:tblGrid>
      <w:tr w:rsidR="00D249FE" w:rsidRPr="006B12F0" w:rsidTr="00280094">
        <w:trPr>
          <w:trHeight w:val="546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6B12F0" w:rsidRDefault="00D249FE" w:rsidP="00D249FE">
            <w:pPr>
              <w:jc w:val="center"/>
              <w:rPr>
                <w:rFonts w:ascii="Cambria" w:hAnsi="Cambria"/>
                <w:b/>
              </w:rPr>
            </w:pPr>
            <w:r w:rsidRPr="006B12F0">
              <w:rPr>
                <w:rFonts w:ascii="Cambria" w:hAnsi="Cambria"/>
                <w:b/>
              </w:rPr>
              <w:t>Observation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6B12F0" w:rsidRDefault="00D249FE" w:rsidP="00D249FE">
            <w:pPr>
              <w:jc w:val="center"/>
              <w:rPr>
                <w:rFonts w:ascii="Cambria" w:hAnsi="Cambria"/>
                <w:b/>
              </w:rPr>
            </w:pPr>
            <w:r w:rsidRPr="006B12F0">
              <w:rPr>
                <w:rFonts w:ascii="Cambria" w:hAnsi="Cambria"/>
                <w:b/>
              </w:rPr>
              <w:t>Explanation of observation using your knowledge of enzymes</w:t>
            </w:r>
          </w:p>
        </w:tc>
      </w:tr>
      <w:tr w:rsidR="00D249FE" w:rsidRPr="006B12F0" w:rsidTr="00280094">
        <w:trPr>
          <w:trHeight w:val="163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2146300" cy="1081659"/>
                  <wp:effectExtent l="2540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6B12F0" w:rsidRDefault="00D249FE" w:rsidP="00D249FE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</w:rPr>
              <w:t xml:space="preserve">Banana pieces go brown when they are exposed to </w:t>
            </w:r>
            <w:r>
              <w:rPr>
                <w:rFonts w:ascii="Cambria" w:hAnsi="Cambria"/>
              </w:rPr>
              <w:t>air.  This browning is stopped i</w:t>
            </w:r>
            <w:r w:rsidRPr="006B12F0">
              <w:rPr>
                <w:rFonts w:ascii="Cambria" w:hAnsi="Cambria"/>
              </w:rPr>
              <w:t xml:space="preserve">f you add lemon juice to the banana pieces.  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6B12F0" w:rsidRDefault="00D249FE">
            <w:pPr>
              <w:rPr>
                <w:rFonts w:ascii="Cambria" w:hAnsi="Cambria"/>
              </w:rPr>
            </w:pPr>
          </w:p>
        </w:tc>
      </w:tr>
      <w:tr w:rsidR="00D249FE" w:rsidRPr="006B12F0" w:rsidTr="00280094">
        <w:trPr>
          <w:trHeight w:val="163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1284302" cy="1102360"/>
                  <wp:effectExtent l="25400" t="0" r="11098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6B12F0" w:rsidRDefault="00D249FE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</w:rPr>
              <w:t xml:space="preserve">Humans cannot survive on a diet of grass but cows can. 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6B12F0" w:rsidRDefault="00D249FE">
            <w:pPr>
              <w:rPr>
                <w:rFonts w:ascii="Cambria" w:hAnsi="Cambria"/>
              </w:rPr>
            </w:pPr>
          </w:p>
        </w:tc>
      </w:tr>
      <w:tr w:rsidR="00D249FE" w:rsidRPr="006B12F0" w:rsidTr="00280094">
        <w:trPr>
          <w:trHeight w:val="148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1266136" cy="1137920"/>
                  <wp:effectExtent l="25400" t="0" r="3864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6B12F0" w:rsidRDefault="00D249FE" w:rsidP="00D249FE">
            <w:pPr>
              <w:rPr>
                <w:rFonts w:ascii="Cambria" w:hAnsi="Cambria"/>
                <w:sz w:val="20"/>
                <w:szCs w:val="20"/>
              </w:rPr>
            </w:pPr>
            <w:r w:rsidRPr="006B12F0">
              <w:rPr>
                <w:rFonts w:ascii="Cambria" w:hAnsi="Cambria"/>
              </w:rPr>
              <w:t xml:space="preserve">Humans die of hyperthermia when their body temperature remains above </w:t>
            </w:r>
            <w:r w:rsidRPr="006B12F0">
              <w:rPr>
                <w:rFonts w:ascii="Cambria" w:hAnsi="Cambria"/>
                <w:color w:val="252525"/>
                <w:szCs w:val="28"/>
                <w:shd w:val="clear" w:color="auto" w:fill="FFFFFF"/>
              </w:rPr>
              <w:t xml:space="preserve">40 °C for a period of time. </w:t>
            </w:r>
            <w:r w:rsidRPr="006B12F0">
              <w:rPr>
                <w:rFonts w:ascii="Cambria" w:hAnsi="Cambria"/>
                <w:color w:val="252525"/>
              </w:rPr>
              <w:t> </w:t>
            </w:r>
          </w:p>
          <w:p w:rsidR="00D249FE" w:rsidRPr="006B12F0" w:rsidRDefault="00D249FE" w:rsidP="00D249FE">
            <w:pPr>
              <w:rPr>
                <w:rFonts w:ascii="Cambria" w:hAnsi="Cambria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6B12F0" w:rsidRDefault="00D249FE">
            <w:pPr>
              <w:rPr>
                <w:rFonts w:ascii="Cambria" w:hAnsi="Cambria"/>
              </w:rPr>
            </w:pPr>
          </w:p>
        </w:tc>
      </w:tr>
      <w:tr w:rsidR="00D249FE" w:rsidRPr="006B12F0" w:rsidTr="00280094">
        <w:trPr>
          <w:trHeight w:val="148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1803400" cy="1200081"/>
                  <wp:effectExtent l="2540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6B12F0" w:rsidRDefault="00D249FE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</w:rPr>
              <w:t xml:space="preserve">When bakers make bread the dough is put in </w:t>
            </w:r>
            <w:r w:rsidR="00280094">
              <w:rPr>
                <w:rFonts w:ascii="Cambria" w:hAnsi="Cambria"/>
              </w:rPr>
              <w:t xml:space="preserve">a </w:t>
            </w:r>
            <w:r w:rsidRPr="006B12F0">
              <w:rPr>
                <w:rFonts w:ascii="Cambria" w:hAnsi="Cambria"/>
              </w:rPr>
              <w:t xml:space="preserve">warm place to rise.   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Default="00D249FE">
            <w:pPr>
              <w:rPr>
                <w:rFonts w:ascii="Cambria" w:hAnsi="Cambria"/>
              </w:rPr>
            </w:pPr>
          </w:p>
          <w:p w:rsidR="0039133E" w:rsidRDefault="0039133E">
            <w:pPr>
              <w:rPr>
                <w:rFonts w:ascii="Cambria" w:hAnsi="Cambria"/>
              </w:rPr>
            </w:pPr>
          </w:p>
          <w:p w:rsidR="0039133E" w:rsidRDefault="0039133E">
            <w:pPr>
              <w:rPr>
                <w:rFonts w:ascii="Cambria" w:hAnsi="Cambria"/>
              </w:rPr>
            </w:pPr>
          </w:p>
          <w:p w:rsidR="0039133E" w:rsidRDefault="0039133E">
            <w:pPr>
              <w:rPr>
                <w:rFonts w:ascii="Cambria" w:hAnsi="Cambria"/>
              </w:rPr>
            </w:pPr>
          </w:p>
          <w:p w:rsidR="0039133E" w:rsidRDefault="0039133E">
            <w:pPr>
              <w:rPr>
                <w:rFonts w:ascii="Cambria" w:hAnsi="Cambria"/>
              </w:rPr>
            </w:pPr>
          </w:p>
          <w:p w:rsidR="0039133E" w:rsidRDefault="0039133E">
            <w:pPr>
              <w:rPr>
                <w:rFonts w:ascii="Cambria" w:hAnsi="Cambria"/>
              </w:rPr>
            </w:pPr>
          </w:p>
          <w:p w:rsidR="0039133E" w:rsidRPr="006B12F0" w:rsidRDefault="0039133E">
            <w:pPr>
              <w:rPr>
                <w:rFonts w:ascii="Cambria" w:hAnsi="Cambria"/>
              </w:rPr>
            </w:pPr>
            <w:bookmarkStart w:id="1" w:name="_GoBack"/>
            <w:bookmarkEnd w:id="1"/>
          </w:p>
        </w:tc>
      </w:tr>
      <w:tr w:rsidR="00D249FE" w:rsidRPr="006B12F0" w:rsidTr="00280094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C352D2" w:rsidRDefault="00D249FE" w:rsidP="00D249FE">
            <w:pPr>
              <w:jc w:val="center"/>
              <w:rPr>
                <w:rFonts w:ascii="Cambria" w:hAnsi="Cambria"/>
                <w:b/>
                <w:sz w:val="20"/>
              </w:rPr>
            </w:pPr>
            <w:r w:rsidRPr="00C352D2">
              <w:rPr>
                <w:rFonts w:ascii="Cambria" w:hAnsi="Cambria"/>
                <w:b/>
                <w:sz w:val="20"/>
              </w:rPr>
              <w:t>Observation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C352D2" w:rsidRDefault="00D249FE" w:rsidP="00D249FE">
            <w:pPr>
              <w:jc w:val="center"/>
              <w:rPr>
                <w:rFonts w:ascii="Cambria" w:hAnsi="Cambria"/>
                <w:b/>
                <w:sz w:val="20"/>
              </w:rPr>
            </w:pPr>
            <w:r w:rsidRPr="00C352D2">
              <w:rPr>
                <w:rFonts w:ascii="Cambria" w:hAnsi="Cambria"/>
                <w:b/>
                <w:sz w:val="20"/>
              </w:rPr>
              <w:t>Explanation of observation using your knowledge of enzymes</w:t>
            </w:r>
          </w:p>
        </w:tc>
      </w:tr>
      <w:tr w:rsidR="00D249FE" w:rsidRPr="006B12F0" w:rsidTr="00280094">
        <w:tblPrEx>
          <w:tblLook w:val="04A0" w:firstRow="1" w:lastRow="0" w:firstColumn="1" w:lastColumn="0" w:noHBand="0" w:noVBand="1"/>
        </w:tblPrEx>
        <w:trPr>
          <w:trHeight w:val="163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2146300" cy="1081659"/>
                  <wp:effectExtent l="2540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C352D2" w:rsidRDefault="00D249FE" w:rsidP="00D249FE">
            <w:pPr>
              <w:rPr>
                <w:rFonts w:ascii="Cambria" w:hAnsi="Cambria"/>
                <w:sz w:val="20"/>
              </w:rPr>
            </w:pPr>
            <w:r w:rsidRPr="00C352D2">
              <w:rPr>
                <w:rFonts w:ascii="Cambria" w:hAnsi="Cambria"/>
                <w:sz w:val="20"/>
              </w:rPr>
              <w:t xml:space="preserve">Banana pieces go brown when they are exposed to air.  This browning is stopped if you add lemon juice to the banana pieces.  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C352D2" w:rsidRDefault="00C352D2" w:rsidP="00D249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An enzyme</w:t>
            </w:r>
            <w:r w:rsidR="00D249FE" w:rsidRPr="00C352D2">
              <w:rPr>
                <w:rFonts w:ascii="Cambria" w:hAnsi="Cambria"/>
                <w:sz w:val="20"/>
              </w:rPr>
              <w:t xml:space="preserve"> in the banana called </w:t>
            </w:r>
            <w:r w:rsidR="00D249FE" w:rsidRPr="00C352D2">
              <w:rPr>
                <w:rFonts w:ascii="Cambria" w:hAnsi="Cambria"/>
                <w:color w:val="000000"/>
                <w:sz w:val="20"/>
                <w:szCs w:val="23"/>
                <w:shd w:val="clear" w:color="auto" w:fill="FFFFFF"/>
              </w:rPr>
              <w:t xml:space="preserve">polyphenol oxidase (PPO, </w:t>
            </w:r>
            <w:proofErr w:type="spellStart"/>
            <w:r w:rsidR="00D249FE" w:rsidRPr="00C352D2">
              <w:rPr>
                <w:rFonts w:ascii="Cambria" w:hAnsi="Cambria"/>
                <w:color w:val="000000"/>
                <w:sz w:val="20"/>
                <w:szCs w:val="23"/>
                <w:shd w:val="clear" w:color="auto" w:fill="FFFFFF"/>
              </w:rPr>
              <w:t>phenolase</w:t>
            </w:r>
            <w:proofErr w:type="spellEnd"/>
            <w:r w:rsidR="00D249FE" w:rsidRPr="00C352D2">
              <w:rPr>
                <w:rFonts w:ascii="Cambria" w:hAnsi="Cambria"/>
                <w:color w:val="000000"/>
                <w:sz w:val="20"/>
                <w:szCs w:val="23"/>
                <w:shd w:val="clear" w:color="auto" w:fill="FFFFFF"/>
              </w:rPr>
              <w:t xml:space="preserve">) in the presence of oxygen </w:t>
            </w:r>
            <w:r>
              <w:rPr>
                <w:rFonts w:ascii="Cambria" w:hAnsi="Cambria"/>
                <w:color w:val="000000"/>
                <w:sz w:val="20"/>
                <w:szCs w:val="23"/>
                <w:shd w:val="clear" w:color="auto" w:fill="FFFFFF"/>
              </w:rPr>
              <w:t>produces</w:t>
            </w:r>
            <w:r w:rsidR="00D249FE" w:rsidRPr="00C352D2">
              <w:rPr>
                <w:rFonts w:ascii="Cambria" w:hAnsi="Cambria"/>
                <w:color w:val="000000"/>
                <w:sz w:val="20"/>
                <w:szCs w:val="23"/>
                <w:shd w:val="clear" w:color="auto" w:fill="FFFFFF"/>
              </w:rPr>
              <w:t xml:space="preserve"> brown pigments known as </w:t>
            </w:r>
            <w:proofErr w:type="spellStart"/>
            <w:r w:rsidR="00D249FE" w:rsidRPr="00C352D2">
              <w:rPr>
                <w:rFonts w:ascii="Cambria" w:hAnsi="Cambria"/>
                <w:color w:val="000000"/>
                <w:sz w:val="20"/>
                <w:szCs w:val="23"/>
                <w:shd w:val="clear" w:color="auto" w:fill="FFFFFF"/>
              </w:rPr>
              <w:t>melanins</w:t>
            </w:r>
            <w:proofErr w:type="spellEnd"/>
            <w:r w:rsidR="00D249FE" w:rsidRPr="00C352D2">
              <w:rPr>
                <w:rFonts w:ascii="Cambria" w:hAnsi="Cambria"/>
                <w:color w:val="000000"/>
                <w:sz w:val="20"/>
                <w:szCs w:val="23"/>
                <w:shd w:val="clear" w:color="auto" w:fill="FFFFFF"/>
              </w:rPr>
              <w:t xml:space="preserve">.  If lemon juice is added this denatures the enzymes and so browning does not occur. </w:t>
            </w:r>
          </w:p>
          <w:p w:rsidR="00D249FE" w:rsidRPr="00C352D2" w:rsidRDefault="00D249FE">
            <w:pPr>
              <w:rPr>
                <w:rFonts w:ascii="Cambria" w:hAnsi="Cambria"/>
                <w:sz w:val="20"/>
              </w:rPr>
            </w:pPr>
          </w:p>
        </w:tc>
      </w:tr>
      <w:tr w:rsidR="00D249FE" w:rsidRPr="006B12F0" w:rsidTr="00280094">
        <w:tblPrEx>
          <w:tblLook w:val="04A0" w:firstRow="1" w:lastRow="0" w:firstColumn="1" w:lastColumn="0" w:noHBand="0" w:noVBand="1"/>
        </w:tblPrEx>
        <w:trPr>
          <w:trHeight w:val="163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1284302" cy="1102360"/>
                  <wp:effectExtent l="25400" t="0" r="11098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C352D2" w:rsidRDefault="00D249FE">
            <w:pPr>
              <w:rPr>
                <w:rFonts w:ascii="Cambria" w:hAnsi="Cambria"/>
                <w:sz w:val="20"/>
              </w:rPr>
            </w:pPr>
            <w:r w:rsidRPr="00C352D2">
              <w:rPr>
                <w:rFonts w:ascii="Cambria" w:hAnsi="Cambria"/>
                <w:sz w:val="20"/>
              </w:rPr>
              <w:t xml:space="preserve">Humans cannot survive on a diet of grass but cows can. 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C352D2" w:rsidRDefault="00D249FE" w:rsidP="00C352D2">
            <w:pPr>
              <w:rPr>
                <w:rFonts w:ascii="Cambria" w:hAnsi="Cambria"/>
                <w:sz w:val="20"/>
              </w:rPr>
            </w:pPr>
            <w:r w:rsidRPr="00C352D2">
              <w:rPr>
                <w:rFonts w:ascii="Cambria" w:hAnsi="Cambria"/>
                <w:sz w:val="20"/>
              </w:rPr>
              <w:t xml:space="preserve">Cows have many bacteria in their digestive system that produce </w:t>
            </w:r>
            <w:proofErr w:type="spellStart"/>
            <w:r w:rsidRPr="00C352D2">
              <w:rPr>
                <w:rFonts w:ascii="Cambria" w:hAnsi="Cambria"/>
                <w:sz w:val="20"/>
              </w:rPr>
              <w:t>cellulases</w:t>
            </w:r>
            <w:proofErr w:type="spellEnd"/>
            <w:r w:rsidRPr="00C352D2">
              <w:rPr>
                <w:rFonts w:ascii="Cambria" w:hAnsi="Cambria"/>
                <w:sz w:val="20"/>
              </w:rPr>
              <w:t>.  These enzymes break down the c</w:t>
            </w:r>
            <w:r w:rsidR="00C352D2" w:rsidRPr="00C352D2">
              <w:rPr>
                <w:rFonts w:ascii="Cambria" w:hAnsi="Cambria"/>
                <w:sz w:val="20"/>
              </w:rPr>
              <w:t>ellulose in the grass cell walls.</w:t>
            </w:r>
            <w:r w:rsidRPr="00C352D2">
              <w:rPr>
                <w:rFonts w:ascii="Cambria" w:hAnsi="Cambria"/>
                <w:sz w:val="20"/>
              </w:rPr>
              <w:t xml:space="preserve">  Humans do </w:t>
            </w:r>
            <w:r w:rsidR="00C352D2" w:rsidRPr="00C352D2">
              <w:rPr>
                <w:rFonts w:ascii="Cambria" w:hAnsi="Cambria"/>
                <w:sz w:val="20"/>
              </w:rPr>
              <w:t xml:space="preserve">not </w:t>
            </w:r>
            <w:r w:rsidR="00C352D2">
              <w:rPr>
                <w:rFonts w:ascii="Cambria" w:hAnsi="Cambria"/>
                <w:sz w:val="20"/>
              </w:rPr>
              <w:t>produce this enzyme and lack the specific</w:t>
            </w:r>
            <w:r w:rsidRPr="00C352D2">
              <w:rPr>
                <w:rFonts w:ascii="Cambria" w:hAnsi="Cambria"/>
                <w:sz w:val="20"/>
              </w:rPr>
              <w:t xml:space="preserve"> bacteria to produce it.   </w:t>
            </w:r>
            <w:r w:rsidR="00C352D2">
              <w:rPr>
                <w:rFonts w:ascii="Cambria" w:hAnsi="Cambria"/>
                <w:sz w:val="20"/>
              </w:rPr>
              <w:t>As enzymes are specific, if celluase is not produced then cellulose</w:t>
            </w:r>
            <w:r w:rsidR="00E8690E">
              <w:rPr>
                <w:rFonts w:ascii="Cambria" w:hAnsi="Cambria"/>
                <w:sz w:val="20"/>
              </w:rPr>
              <w:t xml:space="preserve"> (the main component of grass)</w:t>
            </w:r>
            <w:r w:rsidR="00C352D2">
              <w:rPr>
                <w:rFonts w:ascii="Cambria" w:hAnsi="Cambria"/>
                <w:sz w:val="20"/>
              </w:rPr>
              <w:t xml:space="preserve"> cannot be broken down. </w:t>
            </w:r>
          </w:p>
        </w:tc>
      </w:tr>
      <w:tr w:rsidR="00D249FE" w:rsidRPr="006B12F0" w:rsidTr="00280094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1266136" cy="1137920"/>
                  <wp:effectExtent l="25400" t="0" r="3864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04" cy="114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C352D2" w:rsidRDefault="00D249FE" w:rsidP="00D249FE">
            <w:pPr>
              <w:rPr>
                <w:rFonts w:ascii="Cambria" w:hAnsi="Cambria"/>
                <w:sz w:val="20"/>
                <w:szCs w:val="20"/>
              </w:rPr>
            </w:pPr>
            <w:r w:rsidRPr="00C352D2">
              <w:rPr>
                <w:rFonts w:ascii="Cambria" w:hAnsi="Cambria"/>
                <w:sz w:val="20"/>
              </w:rPr>
              <w:t xml:space="preserve">Humans die of hyperthermia when their body temperature remains above </w:t>
            </w:r>
            <w:r w:rsidRPr="00C352D2">
              <w:rPr>
                <w:rFonts w:ascii="Cambria" w:hAnsi="Cambria"/>
                <w:color w:val="252525"/>
                <w:sz w:val="20"/>
                <w:szCs w:val="28"/>
                <w:shd w:val="clear" w:color="auto" w:fill="FFFFFF"/>
              </w:rPr>
              <w:t xml:space="preserve">40 °C for a period of time. </w:t>
            </w:r>
            <w:r w:rsidRPr="00C352D2">
              <w:rPr>
                <w:rFonts w:ascii="Cambria" w:hAnsi="Cambria"/>
                <w:color w:val="252525"/>
                <w:sz w:val="20"/>
              </w:rPr>
              <w:t> </w:t>
            </w:r>
          </w:p>
          <w:p w:rsidR="00D249FE" w:rsidRPr="00C352D2" w:rsidRDefault="00D249FE" w:rsidP="00D249F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C352D2" w:rsidRPr="00C352D2" w:rsidRDefault="00C352D2" w:rsidP="00C352D2">
            <w:pPr>
              <w:rPr>
                <w:rFonts w:ascii="Cambria" w:hAnsi="Cambria"/>
                <w:sz w:val="20"/>
                <w:szCs w:val="20"/>
              </w:rPr>
            </w:pPr>
            <w:r w:rsidRPr="00C352D2">
              <w:rPr>
                <w:rFonts w:ascii="Cambria" w:hAnsi="Cambria"/>
                <w:sz w:val="20"/>
              </w:rPr>
              <w:t xml:space="preserve">At temperatures above </w:t>
            </w:r>
            <w:r w:rsidRPr="00C352D2">
              <w:rPr>
                <w:rFonts w:ascii="Cambria" w:hAnsi="Cambria"/>
                <w:color w:val="252525"/>
                <w:sz w:val="20"/>
                <w:szCs w:val="28"/>
                <w:shd w:val="clear" w:color="auto" w:fill="FFFFFF"/>
              </w:rPr>
              <w:t xml:space="preserve">40 °C </w:t>
            </w:r>
            <w:r w:rsidRPr="00C352D2">
              <w:rPr>
                <w:rFonts w:ascii="Cambria" w:hAnsi="Cambria"/>
                <w:color w:val="252525"/>
                <w:sz w:val="20"/>
                <w:szCs w:val="22"/>
                <w:shd w:val="clear" w:color="auto" w:fill="FFFFFF"/>
              </w:rPr>
              <w:t xml:space="preserve">enzymes involved in metabolic pathways within the body such as cellular respiration </w:t>
            </w:r>
            <w:r>
              <w:rPr>
                <w:rFonts w:ascii="Cambria" w:hAnsi="Cambria"/>
                <w:color w:val="252525"/>
                <w:sz w:val="20"/>
                <w:szCs w:val="22"/>
                <w:shd w:val="clear" w:color="auto" w:fill="FFFFFF"/>
              </w:rPr>
              <w:t xml:space="preserve">become denatured and </w:t>
            </w:r>
            <w:r w:rsidRPr="00C352D2">
              <w:rPr>
                <w:rFonts w:ascii="Cambria" w:hAnsi="Cambria"/>
                <w:color w:val="252525"/>
                <w:sz w:val="20"/>
                <w:szCs w:val="22"/>
                <w:shd w:val="clear" w:color="auto" w:fill="FFFFFF"/>
              </w:rPr>
              <w:t>fail to work effectively</w:t>
            </w:r>
            <w:r>
              <w:rPr>
                <w:rFonts w:ascii="Cambria" w:hAnsi="Cambria"/>
                <w:color w:val="252525"/>
                <w:sz w:val="20"/>
                <w:szCs w:val="22"/>
                <w:shd w:val="clear" w:color="auto" w:fill="FFFFFF"/>
              </w:rPr>
              <w:t xml:space="preserve">. </w:t>
            </w:r>
          </w:p>
          <w:p w:rsidR="00D249FE" w:rsidRPr="00C352D2" w:rsidRDefault="00D249FE">
            <w:pPr>
              <w:rPr>
                <w:rFonts w:ascii="Cambria" w:hAnsi="Cambria"/>
                <w:sz w:val="20"/>
              </w:rPr>
            </w:pPr>
          </w:p>
        </w:tc>
      </w:tr>
      <w:tr w:rsidR="00D249FE" w:rsidRPr="006B12F0" w:rsidTr="00280094">
        <w:tblPrEx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9FE" w:rsidRPr="006B12F0" w:rsidRDefault="00D249FE" w:rsidP="00280094">
            <w:pPr>
              <w:rPr>
                <w:rFonts w:ascii="Cambria" w:hAnsi="Cambria"/>
              </w:rPr>
            </w:pPr>
            <w:r w:rsidRPr="006B12F0">
              <w:rPr>
                <w:rFonts w:ascii="Cambria" w:hAnsi="Cambria"/>
                <w:noProof/>
                <w:lang w:eastAsia="en-GB"/>
              </w:rPr>
              <w:drawing>
                <wp:inline distT="0" distB="0" distL="0" distR="0">
                  <wp:extent cx="1803400" cy="1200081"/>
                  <wp:effectExtent l="2540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370" cy="120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E" w:rsidRPr="00C352D2" w:rsidRDefault="00D249FE">
            <w:pPr>
              <w:rPr>
                <w:rFonts w:ascii="Cambria" w:hAnsi="Cambria"/>
                <w:sz w:val="20"/>
              </w:rPr>
            </w:pPr>
            <w:r w:rsidRPr="00C352D2">
              <w:rPr>
                <w:rFonts w:ascii="Cambria" w:hAnsi="Cambria"/>
                <w:sz w:val="20"/>
              </w:rPr>
              <w:t xml:space="preserve">When bakers make bread the dough is put in </w:t>
            </w:r>
            <w:r w:rsidR="00280094">
              <w:rPr>
                <w:rFonts w:ascii="Cambria" w:hAnsi="Cambria"/>
                <w:sz w:val="20"/>
              </w:rPr>
              <w:t xml:space="preserve">a </w:t>
            </w:r>
            <w:r w:rsidRPr="00C352D2">
              <w:rPr>
                <w:rFonts w:ascii="Cambria" w:hAnsi="Cambria"/>
                <w:sz w:val="20"/>
              </w:rPr>
              <w:t xml:space="preserve">warm place to rise.   </w:t>
            </w:r>
          </w:p>
        </w:tc>
        <w:tc>
          <w:tcPr>
            <w:tcW w:w="4544" w:type="dxa"/>
            <w:tcBorders>
              <w:left w:val="single" w:sz="4" w:space="0" w:color="auto"/>
            </w:tcBorders>
          </w:tcPr>
          <w:p w:rsidR="00D249FE" w:rsidRPr="00C352D2" w:rsidRDefault="00C352D2" w:rsidP="00C352D2">
            <w:pPr>
              <w:rPr>
                <w:rFonts w:ascii="Cambria" w:hAnsi="Cambria"/>
                <w:sz w:val="20"/>
              </w:rPr>
            </w:pPr>
            <w:r w:rsidRPr="00C352D2">
              <w:rPr>
                <w:rFonts w:ascii="Cambria" w:hAnsi="Cambria"/>
                <w:sz w:val="20"/>
              </w:rPr>
              <w:t>Yeast are microorganisms that</w:t>
            </w:r>
            <w:r>
              <w:rPr>
                <w:rFonts w:ascii="Cambria" w:hAnsi="Cambria"/>
                <w:sz w:val="20"/>
              </w:rPr>
              <w:t xml:space="preserve"> use the glucose in the bread to release energy </w:t>
            </w:r>
            <w:r w:rsidRPr="00C352D2">
              <w:rPr>
                <w:rFonts w:ascii="Cambria" w:hAnsi="Cambria"/>
                <w:sz w:val="20"/>
              </w:rPr>
              <w:t xml:space="preserve">and produce carbon dioxide as a waste product </w:t>
            </w:r>
            <w:r>
              <w:rPr>
                <w:rFonts w:ascii="Cambria" w:hAnsi="Cambria"/>
                <w:sz w:val="20"/>
              </w:rPr>
              <w:t>which causes the bread</w:t>
            </w:r>
            <w:r w:rsidRPr="00C352D2">
              <w:rPr>
                <w:rFonts w:ascii="Cambria" w:hAnsi="Cambria"/>
                <w:sz w:val="20"/>
              </w:rPr>
              <w:t xml:space="preserve"> to rise.  The yeast cells contain many enzymes which catalyse this reaction, these enzymes have an optimum temperature of 30 </w:t>
            </w:r>
            <w:r w:rsidRPr="00C352D2">
              <w:rPr>
                <w:rFonts w:ascii="Cambria" w:hAnsi="Cambria"/>
                <w:color w:val="252525"/>
                <w:sz w:val="20"/>
                <w:szCs w:val="28"/>
                <w:shd w:val="clear" w:color="auto" w:fill="FFFFFF"/>
              </w:rPr>
              <w:t>°C</w:t>
            </w:r>
            <w:r>
              <w:rPr>
                <w:rFonts w:ascii="Cambria" w:hAnsi="Cambria"/>
                <w:color w:val="252525"/>
                <w:sz w:val="20"/>
                <w:szCs w:val="28"/>
                <w:shd w:val="clear" w:color="auto" w:fill="FFFFFF"/>
              </w:rPr>
              <w:t xml:space="preserve"> and so work at their fastest rate at this temperature</w:t>
            </w:r>
            <w:r w:rsidRPr="00C352D2">
              <w:rPr>
                <w:rFonts w:ascii="Cambria" w:hAnsi="Cambria"/>
                <w:color w:val="252525"/>
                <w:sz w:val="20"/>
                <w:szCs w:val="28"/>
                <w:shd w:val="clear" w:color="auto" w:fill="FFFFFF"/>
              </w:rPr>
              <w:t>.</w:t>
            </w:r>
            <w:r>
              <w:rPr>
                <w:rFonts w:ascii="Cambria" w:hAnsi="Cambria"/>
                <w:color w:val="252525"/>
                <w:sz w:val="20"/>
                <w:szCs w:val="28"/>
                <w:shd w:val="clear" w:color="auto" w:fill="FFFFFF"/>
              </w:rPr>
              <w:t xml:space="preserve"> </w:t>
            </w:r>
            <w:r w:rsidRPr="00C352D2">
              <w:rPr>
                <w:rFonts w:ascii="Cambria" w:hAnsi="Cambria"/>
                <w:color w:val="252525"/>
                <w:sz w:val="20"/>
                <w:szCs w:val="28"/>
                <w:shd w:val="clear" w:color="auto" w:fill="FFFFFF"/>
              </w:rPr>
              <w:t xml:space="preserve"> </w:t>
            </w:r>
            <w:r w:rsidRPr="00C352D2">
              <w:rPr>
                <w:rFonts w:ascii="Cambria" w:hAnsi="Cambria"/>
                <w:sz w:val="20"/>
              </w:rPr>
              <w:t xml:space="preserve"> </w:t>
            </w:r>
          </w:p>
        </w:tc>
      </w:tr>
    </w:tbl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0A0169">
      <w:footerReference w:type="default" r:id="rId13"/>
      <w:pgSz w:w="16838" w:h="11899" w:orient="landscape"/>
      <w:pgMar w:top="1800" w:right="1440" w:bottom="1800" w:left="144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33E">
      <w:r>
        <w:separator/>
      </w:r>
    </w:p>
  </w:endnote>
  <w:endnote w:type="continuationSeparator" w:id="0">
    <w:p w:rsidR="00000000" w:rsidRDefault="003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D2" w:rsidRDefault="0039133E">
    <w:pPr>
      <w:pStyle w:val="Footer"/>
    </w:pPr>
    <w:hyperlink r:id="rId1" w:history="1">
      <w:r w:rsidR="00C352D2" w:rsidRPr="00EB2E75">
        <w:rPr>
          <w:rStyle w:val="Hyperlink"/>
          <w:color w:val="008000"/>
          <w:u w:val="none"/>
        </w:rPr>
        <w:t>www.thescienceteacher.co.uk</w:t>
      </w:r>
    </w:hyperlink>
    <w:r w:rsidR="00C352D2">
      <w:t xml:space="preserve"> | resources for science teachers who like to think    </w:t>
    </w:r>
    <w:r w:rsidR="00C352D2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33E">
      <w:r>
        <w:separator/>
      </w:r>
    </w:p>
  </w:footnote>
  <w:footnote w:type="continuationSeparator" w:id="0">
    <w:p w:rsidR="00000000" w:rsidRDefault="003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A0169"/>
    <w:rsid w:val="000B46BC"/>
    <w:rsid w:val="0010278E"/>
    <w:rsid w:val="001068D4"/>
    <w:rsid w:val="001816DD"/>
    <w:rsid w:val="001B5092"/>
    <w:rsid w:val="00280094"/>
    <w:rsid w:val="00280BF3"/>
    <w:rsid w:val="002A0945"/>
    <w:rsid w:val="002D1AFF"/>
    <w:rsid w:val="002E0F2E"/>
    <w:rsid w:val="00313D88"/>
    <w:rsid w:val="0039133E"/>
    <w:rsid w:val="003F36E5"/>
    <w:rsid w:val="00477636"/>
    <w:rsid w:val="004A0366"/>
    <w:rsid w:val="00515F82"/>
    <w:rsid w:val="00540430"/>
    <w:rsid w:val="00602F15"/>
    <w:rsid w:val="006A4E6A"/>
    <w:rsid w:val="007A501B"/>
    <w:rsid w:val="00951B2E"/>
    <w:rsid w:val="009E49D7"/>
    <w:rsid w:val="00A33943"/>
    <w:rsid w:val="00A74951"/>
    <w:rsid w:val="00A8330A"/>
    <w:rsid w:val="00C127DA"/>
    <w:rsid w:val="00C309F0"/>
    <w:rsid w:val="00C352D2"/>
    <w:rsid w:val="00D249FE"/>
    <w:rsid w:val="00DA4BB9"/>
    <w:rsid w:val="00DE107D"/>
    <w:rsid w:val="00E001E1"/>
    <w:rsid w:val="00E8532E"/>
    <w:rsid w:val="00E8690E"/>
    <w:rsid w:val="00E95635"/>
    <w:rsid w:val="00EB2E75"/>
    <w:rsid w:val="00ED75C3"/>
    <w:rsid w:val="00EF4FAE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49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49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ienceteacher.co.uk/biochemistr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2B0757E7</Template>
  <TotalTime>3</TotalTime>
  <Pages>3</Pages>
  <Words>343</Words>
  <Characters>1957</Characters>
  <Application>Microsoft Office Word</Application>
  <DocSecurity>4</DocSecurity>
  <Lines>16</Lines>
  <Paragraphs>4</Paragraphs>
  <ScaleCrop>false</ScaleCrop>
  <Company>University of York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2</cp:revision>
  <cp:lastPrinted>2015-02-18T13:39:00Z</cp:lastPrinted>
  <dcterms:created xsi:type="dcterms:W3CDTF">2015-07-09T08:21:00Z</dcterms:created>
  <dcterms:modified xsi:type="dcterms:W3CDTF">2015-07-09T08:21:00Z</dcterms:modified>
</cp:coreProperties>
</file>